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7B" w:rsidRPr="0008367B" w:rsidRDefault="0008367B" w:rsidP="0008367B">
      <w:pPr>
        <w:widowControl w:val="0"/>
        <w:spacing w:before="60" w:after="0" w:line="200" w:lineRule="atLeast"/>
        <w:rPr>
          <w:rFonts w:ascii="Times New Roman" w:hAnsi="Times New Roman" w:cs="Times New Roman"/>
          <w:b/>
          <w:sz w:val="24"/>
        </w:rPr>
      </w:pPr>
      <w:r w:rsidRPr="0008367B">
        <w:rPr>
          <w:rFonts w:ascii="Times New Roman" w:hAnsi="Times New Roman" w:cs="Times New Roman"/>
          <w:b/>
          <w:sz w:val="24"/>
        </w:rPr>
        <w:t>Qui Van Phan v. Commissioner., U.S. Tax Court, T.C. Summary Opinion 2015-1, (Jan. 12, 2015)</w:t>
      </w:r>
    </w:p>
    <w:p w:rsidR="0008367B" w:rsidRPr="0008367B" w:rsidRDefault="0008367B" w:rsidP="0008367B">
      <w:pPr>
        <w:widowControl w:val="0"/>
        <w:spacing w:before="60" w:after="120" w:line="200" w:lineRule="atLeast"/>
        <w:rPr>
          <w:rFonts w:ascii="Times New Roman" w:hAnsi="Times New Roman" w:cs="Times New Roman"/>
        </w:rPr>
      </w:pPr>
      <w:r w:rsidRPr="0008367B">
        <w:rPr>
          <w:rFonts w:ascii="Times New Roman" w:hAnsi="Times New Roman" w:cs="Times New Roman"/>
        </w:rPr>
        <w:t xml:space="preserve">Docket No. 16202-13S. </w:t>
      </w:r>
      <w:proofErr w:type="gramStart"/>
      <w:r w:rsidRPr="0008367B">
        <w:rPr>
          <w:rFonts w:ascii="Times New Roman" w:hAnsi="Times New Roman" w:cs="Times New Roman"/>
        </w:rPr>
        <w:t>Filed January 12,</w:t>
      </w:r>
      <w:r>
        <w:rPr>
          <w:rFonts w:ascii="Times New Roman" w:hAnsi="Times New Roman" w:cs="Times New Roman"/>
        </w:rPr>
        <w:t xml:space="preserve"> 2015.</w:t>
      </w:r>
      <w:proofErr w:type="gramEnd"/>
      <w:r>
        <w:rPr>
          <w:rFonts w:ascii="Times New Roman" w:hAnsi="Times New Roman" w:cs="Times New Roman"/>
        </w:rPr>
        <w:t xml:space="preserve"> </w:t>
      </w:r>
      <w:proofErr w:type="gramStart"/>
      <w:r w:rsidRPr="0008367B">
        <w:rPr>
          <w:rFonts w:ascii="Times New Roman" w:hAnsi="Times New Roman" w:cs="Times New Roman"/>
        </w:rPr>
        <w:t>[ Code</w:t>
      </w:r>
      <w:proofErr w:type="gramEnd"/>
      <w:r w:rsidRPr="0008367B">
        <w:rPr>
          <w:rFonts w:ascii="Times New Roman" w:hAnsi="Times New Roman" w:cs="Times New Roman"/>
        </w:rPr>
        <w:t xml:space="preserve"> Sec. 163]</w:t>
      </w:r>
    </w:p>
    <w:p w:rsidR="0008367B" w:rsidRDefault="0008367B" w:rsidP="0008367B">
      <w:pPr>
        <w:widowControl w:val="0"/>
        <w:spacing w:before="60" w:after="120" w:line="200" w:lineRule="atLeast"/>
        <w:rPr>
          <w:rFonts w:ascii="Times New Roman" w:hAnsi="Times New Roman" w:cs="Times New Roman"/>
        </w:rPr>
        <w:sectPr w:rsidR="0008367B" w:rsidSect="0008367B">
          <w:footerReference w:type="default" r:id="rId7"/>
          <w:pgSz w:w="12240" w:h="15840"/>
          <w:pgMar w:top="720" w:right="864" w:bottom="720" w:left="864" w:header="720" w:footer="720" w:gutter="0"/>
          <w:cols w:space="720"/>
          <w:docGrid w:linePitch="360"/>
        </w:sectPr>
      </w:pP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rPr>
        <w:lastRenderedPageBreak/>
        <w:t xml:space="preserve">Tax Court: Summary opinion: Qualified mortgage interest: Qualified residence: Ownership: Equitable ownership: Taxpayers entitled to deduction.– </w:t>
      </w:r>
    </w:p>
    <w:p w:rsidR="0008367B" w:rsidRPr="0008367B" w:rsidRDefault="0008367B" w:rsidP="0008367B">
      <w:pPr>
        <w:widowControl w:val="0"/>
        <w:tabs>
          <w:tab w:val="left" w:pos="0"/>
        </w:tabs>
        <w:spacing w:before="60" w:after="0" w:line="200" w:lineRule="atLeast"/>
        <w:rPr>
          <w:rFonts w:ascii="Times New Roman" w:hAnsi="Times New Roman" w:cs="Times New Roman"/>
          <w:sz w:val="20"/>
        </w:rPr>
      </w:pPr>
      <w:r w:rsidRPr="006518C2">
        <w:rPr>
          <w:rFonts w:ascii="Times New Roman" w:hAnsi="Times New Roman" w:cs="Times New Roman"/>
          <w:b/>
          <w:sz w:val="20"/>
        </w:rPr>
        <w:t>An individual was entitled to a home mortgage interest deduction for the tax year at issue.</w:t>
      </w:r>
      <w:r w:rsidRPr="0008367B">
        <w:rPr>
          <w:rFonts w:ascii="Times New Roman" w:hAnsi="Times New Roman" w:cs="Times New Roman"/>
          <w:sz w:val="20"/>
        </w:rPr>
        <w:t xml:space="preserve"> Although the individual did not have legal title to the property and was not liable for the mortgage, </w:t>
      </w:r>
      <w:r w:rsidRPr="006518C2">
        <w:rPr>
          <w:rFonts w:ascii="Times New Roman" w:hAnsi="Times New Roman" w:cs="Times New Roman"/>
          <w:b/>
          <w:sz w:val="20"/>
        </w:rPr>
        <w:t>he provided clear and convincing evidence that he was an equitable owner of the property</w:t>
      </w:r>
      <w:r w:rsidRPr="0008367B">
        <w:rPr>
          <w:rFonts w:ascii="Times New Roman" w:hAnsi="Times New Roman" w:cs="Times New Roman"/>
          <w:sz w:val="20"/>
        </w:rPr>
        <w:t xml:space="preserve"> under state (California) law. The individual testified credibly that his family granted him an interest in the property and would add his name to the title if he paid the property expenses. The evidence showed that the individual paid the mortgage, insurance and property taxes on the property. In addition, the individual resided at the property, maintained and made improvements to the property. Since he was an equitable owner of the property during the tax year at issue, he was entitled to deduct the mortgage interest he paid under Reg. §1.163-1(b).—</w:t>
      </w:r>
      <w:r w:rsidRPr="00240F91">
        <w:rPr>
          <w:rFonts w:ascii="Times New Roman" w:hAnsi="Times New Roman" w:cs="Times New Roman"/>
          <w:b/>
          <w:sz w:val="20"/>
        </w:rPr>
        <w:t>CCH.</w:t>
      </w:r>
    </w:p>
    <w:p w:rsidR="0008367B" w:rsidRPr="0008367B" w:rsidRDefault="0008367B" w:rsidP="0008367B">
      <w:pPr>
        <w:widowControl w:val="0"/>
        <w:tabs>
          <w:tab w:val="left" w:pos="0"/>
        </w:tabs>
        <w:spacing w:before="60" w:after="0" w:line="200" w:lineRule="atLeast"/>
        <w:rPr>
          <w:rFonts w:ascii="Times New Roman" w:hAnsi="Times New Roman" w:cs="Times New Roman"/>
          <w:sz w:val="16"/>
        </w:rPr>
      </w:pPr>
      <w:r w:rsidRPr="0008367B">
        <w:rPr>
          <w:rFonts w:ascii="Times New Roman" w:hAnsi="Times New Roman" w:cs="Times New Roman"/>
          <w:sz w:val="16"/>
        </w:rPr>
        <w:t>PURSUANT TO INTERNAL REVENUE CODE SECTION 7463(b)</w:t>
      </w:r>
      <w:proofErr w:type="gramStart"/>
      <w:r w:rsidRPr="0008367B">
        <w:rPr>
          <w:rFonts w:ascii="Times New Roman" w:hAnsi="Times New Roman" w:cs="Times New Roman"/>
          <w:sz w:val="16"/>
        </w:rPr>
        <w:t>,THIS</w:t>
      </w:r>
      <w:proofErr w:type="gramEnd"/>
      <w:r w:rsidRPr="0008367B">
        <w:rPr>
          <w:rFonts w:ascii="Times New Roman" w:hAnsi="Times New Roman" w:cs="Times New Roman"/>
          <w:sz w:val="16"/>
        </w:rPr>
        <w:t xml:space="preserve"> OPINION MAY NOT BE TREATED AS PRECEDENT FOR ANY OTHER CASE. </w:t>
      </w:r>
    </w:p>
    <w:p w:rsidR="0008367B" w:rsidRPr="0008367B" w:rsidRDefault="00870CC9" w:rsidP="0008367B">
      <w:pPr>
        <w:widowControl w:val="0"/>
        <w:tabs>
          <w:tab w:val="left" w:pos="0"/>
        </w:tabs>
        <w:spacing w:before="60" w:after="0" w:line="200" w:lineRule="atLeast"/>
        <w:rPr>
          <w:rFonts w:ascii="Times New Roman" w:hAnsi="Times New Roman" w:cs="Times New Roman"/>
        </w:rPr>
      </w:pPr>
      <w:r>
        <w:rPr>
          <w:rFonts w:ascii="Times New Roman" w:hAnsi="Times New Roman" w:cs="Times New Roman"/>
        </w:rPr>
        <w:t xml:space="preserve">Qui Van Phan, pro se. Dean Wakayama </w:t>
      </w:r>
      <w:r w:rsidR="0008367B" w:rsidRPr="0008367B">
        <w:rPr>
          <w:rFonts w:ascii="Times New Roman" w:hAnsi="Times New Roman" w:cs="Times New Roman"/>
        </w:rPr>
        <w:t>for respondent.</w:t>
      </w:r>
    </w:p>
    <w:p w:rsidR="0008367B" w:rsidRPr="0008367B" w:rsidRDefault="0008367B" w:rsidP="0008367B">
      <w:pPr>
        <w:widowControl w:val="0"/>
        <w:tabs>
          <w:tab w:val="left" w:pos="0"/>
        </w:tabs>
        <w:spacing w:before="60" w:after="0" w:line="200" w:lineRule="atLeast"/>
        <w:rPr>
          <w:rFonts w:ascii="Times New Roman" w:hAnsi="Times New Roman" w:cs="Times New Roman"/>
          <w:b/>
        </w:rPr>
      </w:pPr>
      <w:r w:rsidRPr="0008367B">
        <w:rPr>
          <w:rFonts w:ascii="Times New Roman" w:hAnsi="Times New Roman" w:cs="Times New Roman"/>
          <w:b/>
        </w:rPr>
        <w:t>SUMMARY OPINION</w:t>
      </w: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rPr>
        <w:t>KERRIGAN, Judge: This case was heard pursuant to section 7463 of the Internal Revenue Code in effect when the petition was filed. Pursuant to section 7463(b), the decision to be entered is not reviewable by any other court, and this opinion shall not be treated as precedent for any other case. Unless otherwise indicated, all section references are to the Internal Revenue Code in effect for the year in issue, and all Rule references are to the Tax Court Rules of Practice and Procedure. We round all monetary amounts to the nearest dollar.</w:t>
      </w: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870CC9">
        <w:rPr>
          <w:rFonts w:ascii="Times New Roman" w:hAnsi="Times New Roman" w:cs="Times New Roman"/>
          <w:b/>
        </w:rPr>
        <w:t>This case was commenced in response to a notice of deficiency determining a deficiency of $8,970 and an accuracy-related penalty pursuant to section 6662(a) of $1,794 for tax year 2010.</w:t>
      </w:r>
      <w:r w:rsidRPr="0008367B">
        <w:rPr>
          <w:rFonts w:ascii="Times New Roman" w:hAnsi="Times New Roman" w:cs="Times New Roman"/>
        </w:rPr>
        <w:t xml:space="preserve"> The issues for </w:t>
      </w:r>
      <w:bookmarkStart w:id="0" w:name="_GoBack"/>
      <w:bookmarkEnd w:id="0"/>
      <w:r w:rsidRPr="0008367B">
        <w:rPr>
          <w:rFonts w:ascii="Times New Roman" w:hAnsi="Times New Roman" w:cs="Times New Roman"/>
        </w:rPr>
        <w:t>consideration are (1) whether petitioner is entitled to a home mortgage interest deduction for tax year 2010, and (2) whether petitioner is liable for an accuracy-related penalty for tax year 2010.</w:t>
      </w:r>
    </w:p>
    <w:p w:rsidR="0008367B" w:rsidRPr="0008367B" w:rsidRDefault="0008367B" w:rsidP="0008367B">
      <w:pPr>
        <w:widowControl w:val="0"/>
        <w:tabs>
          <w:tab w:val="left" w:pos="0"/>
        </w:tabs>
        <w:spacing w:before="60" w:after="0" w:line="200" w:lineRule="atLeast"/>
        <w:rPr>
          <w:rFonts w:ascii="Times New Roman" w:hAnsi="Times New Roman" w:cs="Times New Roman"/>
          <w:b/>
        </w:rPr>
      </w:pPr>
      <w:r w:rsidRPr="0008367B">
        <w:rPr>
          <w:rFonts w:ascii="Times New Roman" w:hAnsi="Times New Roman" w:cs="Times New Roman"/>
          <w:b/>
        </w:rPr>
        <w:t>Background</w:t>
      </w: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rPr>
        <w:t>Petitioner resided in California when he filed the petition.</w:t>
      </w:r>
    </w:p>
    <w:p w:rsidR="0008367B" w:rsidRPr="007E746D" w:rsidRDefault="0008367B" w:rsidP="0008367B">
      <w:pPr>
        <w:widowControl w:val="0"/>
        <w:tabs>
          <w:tab w:val="left" w:pos="0"/>
        </w:tabs>
        <w:spacing w:before="60" w:after="0" w:line="200" w:lineRule="atLeast"/>
        <w:rPr>
          <w:rFonts w:ascii="Times New Roman" w:hAnsi="Times New Roman" w:cs="Times New Roman"/>
          <w:b/>
          <w:u w:val="single"/>
        </w:rPr>
      </w:pPr>
      <w:r w:rsidRPr="0008367B">
        <w:rPr>
          <w:rFonts w:ascii="Times New Roman" w:hAnsi="Times New Roman" w:cs="Times New Roman"/>
        </w:rPr>
        <w:t xml:space="preserve">In 2008 petitioner moved into a house on a three-acre ranch in California (property) to help his mother, who was unable to care for the property. He lived at the property during 2010. During this time his mother was in the process of divorcing his father. His father left the property before 2008 and did not live there at all in 2010. As part of the divorce settlement his mother would pay his father in exchange for his father's interest </w:t>
      </w:r>
      <w:r w:rsidRPr="0008367B">
        <w:rPr>
          <w:rFonts w:ascii="Times New Roman" w:hAnsi="Times New Roman" w:cs="Times New Roman"/>
        </w:rPr>
        <w:lastRenderedPageBreak/>
        <w:t>in the property. In order to secure the needed funds, the mortgage loan for the property was refinanced in 2011. Because of his financial situation petitioner was not able to buy the property.</w:t>
      </w:r>
      <w:r w:rsidRPr="007E746D">
        <w:rPr>
          <w:rFonts w:ascii="Times New Roman" w:hAnsi="Times New Roman" w:cs="Times New Roman"/>
          <w:b/>
        </w:rPr>
        <w:t xml:space="preserve"> </w:t>
      </w:r>
      <w:r w:rsidRPr="007E746D">
        <w:rPr>
          <w:rFonts w:ascii="Times New Roman" w:hAnsi="Times New Roman" w:cs="Times New Roman"/>
          <w:b/>
          <w:u w:val="single"/>
        </w:rPr>
        <w:t>However, petitioner entered into an oral agreement with his mother and his siblings that he would pay the mortgage loan and the property taxes and these payments would increase his equity interest in the home.</w:t>
      </w:r>
      <w:r w:rsidRPr="007E746D">
        <w:rPr>
          <w:rFonts w:ascii="Times New Roman" w:hAnsi="Times New Roman" w:cs="Times New Roman"/>
          <w:b/>
        </w:rPr>
        <w:t xml:space="preserve"> Petitioner's sister and sister-in-law refinanced the mortgage loan for the property in 2011. </w:t>
      </w:r>
      <w:r w:rsidRPr="007E746D">
        <w:rPr>
          <w:rFonts w:ascii="Times New Roman" w:hAnsi="Times New Roman" w:cs="Times New Roman"/>
          <w:b/>
          <w:u w:val="single"/>
        </w:rPr>
        <w:t>In 2013 petitioner's name was added to the legal title to the property.</w:t>
      </w:r>
    </w:p>
    <w:p w:rsidR="0008367B" w:rsidRPr="007E746D" w:rsidRDefault="0008367B" w:rsidP="0008367B">
      <w:pPr>
        <w:widowControl w:val="0"/>
        <w:tabs>
          <w:tab w:val="left" w:pos="0"/>
        </w:tabs>
        <w:spacing w:before="60" w:after="0" w:line="200" w:lineRule="atLeast"/>
        <w:rPr>
          <w:rFonts w:ascii="Times New Roman" w:hAnsi="Times New Roman" w:cs="Times New Roman"/>
          <w:b/>
        </w:rPr>
      </w:pPr>
      <w:r w:rsidRPr="007E746D">
        <w:rPr>
          <w:rFonts w:ascii="Times New Roman" w:hAnsi="Times New Roman" w:cs="Times New Roman"/>
          <w:b/>
        </w:rPr>
        <w:t>In 2010 the legal title to the property was held by petitioner's mother, brother, and father. His brother and father were not living at the property. Petitioner's mother was unable to take care of the property on her own.</w:t>
      </w: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rPr>
        <w:t>During 2010 Chase held a mortgage on the property. The mortgage was not held in petitioner's name. During 2010 Chase received monthly mortgage payments from petitioner of $3,958. Petitioner maintained a bank account with Wells Fargo, and his bank statements for 2010 show a monthly check for $3,958 paid to Chase.</w:t>
      </w:r>
    </w:p>
    <w:p w:rsidR="0008367B" w:rsidRPr="0008367B" w:rsidRDefault="0008367B" w:rsidP="0008367B">
      <w:pPr>
        <w:widowControl w:val="0"/>
        <w:tabs>
          <w:tab w:val="left" w:pos="0"/>
        </w:tabs>
        <w:spacing w:before="60" w:after="0" w:line="200" w:lineRule="atLeast"/>
        <w:rPr>
          <w:rFonts w:ascii="Times New Roman" w:hAnsi="Times New Roman" w:cs="Times New Roman"/>
          <w:b/>
          <w:u w:val="single"/>
        </w:rPr>
      </w:pPr>
      <w:r w:rsidRPr="0008367B">
        <w:rPr>
          <w:rFonts w:ascii="Times New Roman" w:hAnsi="Times New Roman" w:cs="Times New Roman"/>
          <w:b/>
          <w:u w:val="single"/>
        </w:rPr>
        <w:t xml:space="preserve">Petitioner filed a Form 1040, U.S. Individual Income Tax Return, for tax year 2010. He attached a Schedule </w:t>
      </w:r>
      <w:proofErr w:type="gramStart"/>
      <w:r w:rsidRPr="0008367B">
        <w:rPr>
          <w:rFonts w:ascii="Times New Roman" w:hAnsi="Times New Roman" w:cs="Times New Roman"/>
          <w:b/>
          <w:u w:val="single"/>
        </w:rPr>
        <w:t>A</w:t>
      </w:r>
      <w:proofErr w:type="gramEnd"/>
      <w:r w:rsidRPr="0008367B">
        <w:rPr>
          <w:rFonts w:ascii="Times New Roman" w:hAnsi="Times New Roman" w:cs="Times New Roman"/>
          <w:b/>
          <w:u w:val="single"/>
        </w:rPr>
        <w:t>, Itemized Deductions, to his Form 1040 on which he claimed a $35,880 deduction for home mortgage interest.</w:t>
      </w:r>
    </w:p>
    <w:p w:rsidR="0008367B" w:rsidRPr="0008367B" w:rsidRDefault="0008367B" w:rsidP="0008367B">
      <w:pPr>
        <w:widowControl w:val="0"/>
        <w:tabs>
          <w:tab w:val="left" w:pos="0"/>
        </w:tabs>
        <w:spacing w:before="60" w:after="0" w:line="200" w:lineRule="atLeast"/>
        <w:rPr>
          <w:rFonts w:ascii="Times New Roman" w:hAnsi="Times New Roman" w:cs="Times New Roman"/>
          <w:b/>
        </w:rPr>
      </w:pPr>
      <w:r w:rsidRPr="0008367B">
        <w:rPr>
          <w:rFonts w:ascii="Times New Roman" w:hAnsi="Times New Roman" w:cs="Times New Roman"/>
          <w:b/>
        </w:rPr>
        <w:t xml:space="preserve">On April 8, 2013, respondent issued petitioner the notice of deficiency </w:t>
      </w:r>
      <w:r w:rsidRPr="0008367B">
        <w:rPr>
          <w:rFonts w:ascii="Times New Roman" w:hAnsi="Times New Roman" w:cs="Times New Roman"/>
          <w:b/>
          <w:u w:val="single"/>
        </w:rPr>
        <w:t xml:space="preserve">disallowing </w:t>
      </w:r>
      <w:r w:rsidRPr="0008367B">
        <w:rPr>
          <w:rFonts w:ascii="Times New Roman" w:hAnsi="Times New Roman" w:cs="Times New Roman"/>
          <w:b/>
        </w:rPr>
        <w:t>petitioner's claimed home mortgage interest deduction and imposing the accuracy-related penalty under section 6662(a).</w:t>
      </w:r>
    </w:p>
    <w:p w:rsidR="0008367B" w:rsidRPr="0008367B" w:rsidRDefault="0008367B" w:rsidP="0008367B">
      <w:pPr>
        <w:widowControl w:val="0"/>
        <w:tabs>
          <w:tab w:val="left" w:pos="0"/>
        </w:tabs>
        <w:spacing w:before="60" w:after="0" w:line="200" w:lineRule="atLeast"/>
        <w:rPr>
          <w:rFonts w:ascii="Times New Roman" w:hAnsi="Times New Roman" w:cs="Times New Roman"/>
          <w:b/>
        </w:rPr>
      </w:pPr>
      <w:r w:rsidRPr="0008367B">
        <w:rPr>
          <w:rFonts w:ascii="Times New Roman" w:hAnsi="Times New Roman" w:cs="Times New Roman"/>
          <w:b/>
        </w:rPr>
        <w:t>I. Burden of Proof</w:t>
      </w: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rPr>
        <w:t>Generally, the Commissioner's determinations in a notice of deficiency are presumed correct, and the taxpayer bears the burden of proving that those determinations are erroneous. Rule 142(a</w:t>
      </w:r>
      <w:proofErr w:type="gramStart"/>
      <w:r w:rsidRPr="0008367B">
        <w:rPr>
          <w:rFonts w:ascii="Times New Roman" w:hAnsi="Times New Roman" w:cs="Times New Roman"/>
        </w:rPr>
        <w:t>)(</w:t>
      </w:r>
      <w:proofErr w:type="gramEnd"/>
      <w:r w:rsidRPr="0008367B">
        <w:rPr>
          <w:rFonts w:ascii="Times New Roman" w:hAnsi="Times New Roman" w:cs="Times New Roman"/>
        </w:rPr>
        <w:t xml:space="preserve">1); Welch v. </w:t>
      </w:r>
      <w:proofErr w:type="spellStart"/>
      <w:r w:rsidRPr="0008367B">
        <w:rPr>
          <w:rFonts w:ascii="Times New Roman" w:hAnsi="Times New Roman" w:cs="Times New Roman"/>
        </w:rPr>
        <w:t>Helvering</w:t>
      </w:r>
      <w:proofErr w:type="spellEnd"/>
      <w:r w:rsidRPr="0008367B">
        <w:rPr>
          <w:rFonts w:ascii="Times New Roman" w:hAnsi="Times New Roman" w:cs="Times New Roman"/>
        </w:rPr>
        <w:t>, 290 U.S. 111, 115 (1933). Under section 7491(a), in certain circumstances, the burden of proof may shift from the taxpayer to the Commissioner. Petitioner has not claimed to meet and has not shown that he meets the requirements of section 7491(a) to shift the burden of proof to respondent as to any relevant factual issue.</w:t>
      </w:r>
    </w:p>
    <w:p w:rsidR="0008367B" w:rsidRPr="0008367B" w:rsidRDefault="0008367B" w:rsidP="0008367B">
      <w:pPr>
        <w:widowControl w:val="0"/>
        <w:tabs>
          <w:tab w:val="left" w:pos="0"/>
        </w:tabs>
        <w:spacing w:before="60" w:after="0" w:line="200" w:lineRule="atLeast"/>
        <w:rPr>
          <w:rFonts w:ascii="Times New Roman" w:hAnsi="Times New Roman" w:cs="Times New Roman"/>
          <w:b/>
        </w:rPr>
      </w:pPr>
      <w:r w:rsidRPr="0008367B">
        <w:rPr>
          <w:rFonts w:ascii="Times New Roman" w:hAnsi="Times New Roman" w:cs="Times New Roman"/>
          <w:b/>
        </w:rPr>
        <w:t>II. Mortgage Interest Deduction</w:t>
      </w:r>
    </w:p>
    <w:p w:rsidR="0008367B" w:rsidRPr="0008367B" w:rsidRDefault="0008367B" w:rsidP="0008367B">
      <w:pPr>
        <w:widowControl w:val="0"/>
        <w:tabs>
          <w:tab w:val="left" w:pos="0"/>
        </w:tabs>
        <w:spacing w:before="60" w:after="0" w:line="200" w:lineRule="atLeast"/>
        <w:rPr>
          <w:rFonts w:ascii="Times New Roman" w:hAnsi="Times New Roman" w:cs="Times New Roman"/>
          <w:sz w:val="20"/>
        </w:rPr>
      </w:pPr>
      <w:r w:rsidRPr="0008367B">
        <w:rPr>
          <w:rFonts w:ascii="Times New Roman" w:hAnsi="Times New Roman" w:cs="Times New Roman"/>
        </w:rPr>
        <w:t xml:space="preserve">Deductions are a matter of legislative grace, and taxpayers bear the burden of establishing entitlement to any claimed deduction. </w:t>
      </w:r>
      <w:proofErr w:type="gramStart"/>
      <w:r w:rsidRPr="0008367B">
        <w:rPr>
          <w:rFonts w:ascii="Times New Roman" w:hAnsi="Times New Roman" w:cs="Times New Roman"/>
        </w:rPr>
        <w:t>Rule 142(a); INDOPCO, Inc. v. Commissioner, 503 U.S. 79, 84 (1992).</w:t>
      </w:r>
      <w:proofErr w:type="gramEnd"/>
      <w:r w:rsidRPr="0008367B">
        <w:rPr>
          <w:rFonts w:ascii="Times New Roman" w:hAnsi="Times New Roman" w:cs="Times New Roman"/>
        </w:rPr>
        <w:t xml:space="preserve"> Taxpayers must maintain records sufficient to allow the Commissioner to determine their correct tax liability. </w:t>
      </w:r>
      <w:proofErr w:type="gramStart"/>
      <w:r w:rsidRPr="0008367B">
        <w:rPr>
          <w:rFonts w:ascii="Times New Roman" w:hAnsi="Times New Roman" w:cs="Times New Roman"/>
        </w:rPr>
        <w:t>S</w:t>
      </w:r>
      <w:r w:rsidRPr="0008367B">
        <w:rPr>
          <w:rFonts w:ascii="Times New Roman" w:hAnsi="Times New Roman" w:cs="Times New Roman"/>
          <w:sz w:val="20"/>
        </w:rPr>
        <w:t xml:space="preserve">ec. 6001; sec. 1.6001-1(a), Income Tax </w:t>
      </w:r>
      <w:proofErr w:type="spellStart"/>
      <w:r w:rsidRPr="0008367B">
        <w:rPr>
          <w:rFonts w:ascii="Times New Roman" w:hAnsi="Times New Roman" w:cs="Times New Roman"/>
          <w:sz w:val="20"/>
        </w:rPr>
        <w:t>Regs</w:t>
      </w:r>
      <w:proofErr w:type="spellEnd"/>
      <w:r w:rsidRPr="0008367B">
        <w:rPr>
          <w:rFonts w:ascii="Times New Roman" w:hAnsi="Times New Roman" w:cs="Times New Roman"/>
          <w:sz w:val="20"/>
        </w:rPr>
        <w:t>.</w:t>
      </w:r>
      <w:proofErr w:type="gramEnd"/>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rPr>
        <w:lastRenderedPageBreak/>
        <w:t>Section 163(a) allows a deduction for all interest paid or accrued within the taxable year on indebtedness. Section 163(h</w:t>
      </w:r>
      <w:proofErr w:type="gramStart"/>
      <w:r w:rsidRPr="0008367B">
        <w:rPr>
          <w:rFonts w:ascii="Times New Roman" w:hAnsi="Times New Roman" w:cs="Times New Roman"/>
        </w:rPr>
        <w:t>)(</w:t>
      </w:r>
      <w:proofErr w:type="gramEnd"/>
      <w:r w:rsidRPr="0008367B">
        <w:rPr>
          <w:rFonts w:ascii="Times New Roman" w:hAnsi="Times New Roman" w:cs="Times New Roman"/>
        </w:rPr>
        <w:t>1), however, provides that, in the case of a taxpayer other than a corporation, no deduction is allowed for personal interest. Qualified residence interest is excluded from the definition of personal interest and thus is deductible under section 163(a). See sec. 163(h</w:t>
      </w:r>
      <w:proofErr w:type="gramStart"/>
      <w:r w:rsidRPr="0008367B">
        <w:rPr>
          <w:rFonts w:ascii="Times New Roman" w:hAnsi="Times New Roman" w:cs="Times New Roman"/>
        </w:rPr>
        <w:t>)(</w:t>
      </w:r>
      <w:proofErr w:type="gramEnd"/>
      <w:r w:rsidRPr="0008367B">
        <w:rPr>
          <w:rFonts w:ascii="Times New Roman" w:hAnsi="Times New Roman" w:cs="Times New Roman"/>
        </w:rPr>
        <w:t>2)(D).</w:t>
      </w: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b/>
        </w:rPr>
        <w:t>Qualified residence interest</w:t>
      </w:r>
      <w:r w:rsidRPr="0008367B">
        <w:rPr>
          <w:rFonts w:ascii="Times New Roman" w:hAnsi="Times New Roman" w:cs="Times New Roman"/>
        </w:rPr>
        <w:t xml:space="preserve"> is any interest that is paid or accrued during the taxable year on acquisition indebtedness or home equity indebtedness. See sec. 163(h</w:t>
      </w:r>
      <w:proofErr w:type="gramStart"/>
      <w:r w:rsidRPr="0008367B">
        <w:rPr>
          <w:rFonts w:ascii="Times New Roman" w:hAnsi="Times New Roman" w:cs="Times New Roman"/>
        </w:rPr>
        <w:t>)(</w:t>
      </w:r>
      <w:proofErr w:type="gramEnd"/>
      <w:r w:rsidRPr="0008367B">
        <w:rPr>
          <w:rFonts w:ascii="Times New Roman" w:hAnsi="Times New Roman" w:cs="Times New Roman"/>
        </w:rPr>
        <w:t>3)(A). For any period, the aggregate amount of home acquisition indebtedness may not exceed $1 million. Sec. 163(h</w:t>
      </w:r>
      <w:proofErr w:type="gramStart"/>
      <w:r w:rsidRPr="0008367B">
        <w:rPr>
          <w:rFonts w:ascii="Times New Roman" w:hAnsi="Times New Roman" w:cs="Times New Roman"/>
        </w:rPr>
        <w:t>)(</w:t>
      </w:r>
      <w:proofErr w:type="gramEnd"/>
      <w:r w:rsidRPr="0008367B">
        <w:rPr>
          <w:rFonts w:ascii="Times New Roman" w:hAnsi="Times New Roman" w:cs="Times New Roman"/>
        </w:rPr>
        <w:t>3)(B)(ii).</w:t>
      </w: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CA2E7A">
        <w:rPr>
          <w:rFonts w:ascii="Times New Roman" w:hAnsi="Times New Roman" w:cs="Times New Roman"/>
          <w:b/>
          <w:u w:val="single"/>
        </w:rPr>
        <w:t>The indebtedness generally must be an obligation of the taxpayer and not an obligation of another</w:t>
      </w:r>
      <w:r w:rsidRPr="0008367B">
        <w:rPr>
          <w:rFonts w:ascii="Times New Roman" w:hAnsi="Times New Roman" w:cs="Times New Roman"/>
        </w:rPr>
        <w:t xml:space="preserve">. </w:t>
      </w:r>
      <w:r w:rsidR="00CA2E7A">
        <w:rPr>
          <w:rFonts w:ascii="Times New Roman" w:hAnsi="Times New Roman" w:cs="Times New Roman"/>
        </w:rPr>
        <w:br/>
      </w:r>
      <w:r w:rsidRPr="0008367B">
        <w:rPr>
          <w:rFonts w:ascii="Times New Roman" w:hAnsi="Times New Roman" w:cs="Times New Roman"/>
        </w:rPr>
        <w:t xml:space="preserve">See </w:t>
      </w:r>
      <w:proofErr w:type="spellStart"/>
      <w:r w:rsidRPr="0008367B">
        <w:rPr>
          <w:rFonts w:ascii="Times New Roman" w:hAnsi="Times New Roman" w:cs="Times New Roman"/>
        </w:rPr>
        <w:t>Golder</w:t>
      </w:r>
      <w:proofErr w:type="spellEnd"/>
      <w:r w:rsidRPr="0008367B">
        <w:rPr>
          <w:rFonts w:ascii="Times New Roman" w:hAnsi="Times New Roman" w:cs="Times New Roman"/>
        </w:rPr>
        <w:t xml:space="preserve"> v. Commissioner, 604 F.2d 34, 35 (9th Cir. 1979), </w:t>
      </w:r>
      <w:proofErr w:type="spellStart"/>
      <w:r w:rsidRPr="0008367B">
        <w:rPr>
          <w:rFonts w:ascii="Times New Roman" w:hAnsi="Times New Roman" w:cs="Times New Roman"/>
        </w:rPr>
        <w:t>aff'g</w:t>
      </w:r>
      <w:proofErr w:type="spellEnd"/>
      <w:r w:rsidRPr="0008367B">
        <w:rPr>
          <w:rFonts w:ascii="Times New Roman" w:hAnsi="Times New Roman" w:cs="Times New Roman"/>
        </w:rPr>
        <w:t xml:space="preserve"> T.C. Memo. 1976-150. Section 1.163-1(b), Income Tax </w:t>
      </w:r>
      <w:proofErr w:type="spellStart"/>
      <w:r w:rsidRPr="0008367B">
        <w:rPr>
          <w:rFonts w:ascii="Times New Roman" w:hAnsi="Times New Roman" w:cs="Times New Roman"/>
        </w:rPr>
        <w:t>Regs</w:t>
      </w:r>
      <w:proofErr w:type="spellEnd"/>
      <w:r w:rsidRPr="0008367B">
        <w:rPr>
          <w:rFonts w:ascii="Times New Roman" w:hAnsi="Times New Roman" w:cs="Times New Roman"/>
        </w:rPr>
        <w:t>., however, provides that even if a taxpayer is not directly liable on a bond or note secured by a mortgage, the taxpayer may nevertheless deduct the mortgage interest paid if he or she is the legal or equitable owner of the property subject to the mortgage.</w:t>
      </w: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rPr>
        <w:t xml:space="preserve">State law determines the nature of property rights, such as legal or equitable ownership, while Federal law determines the appropriate tax consequences of those rights. See United States v. Nat'l Bank of Commerce, 472 U.S. 713, 722 (1985); Blanche v. Commissioner, T.C. Memo. 2001-63, aff'd, 33 Fed. </w:t>
      </w:r>
      <w:proofErr w:type="spellStart"/>
      <w:proofErr w:type="gramStart"/>
      <w:r w:rsidRPr="0008367B">
        <w:rPr>
          <w:rFonts w:ascii="Times New Roman" w:hAnsi="Times New Roman" w:cs="Times New Roman"/>
        </w:rPr>
        <w:t>Appx</w:t>
      </w:r>
      <w:proofErr w:type="spellEnd"/>
      <w:r w:rsidRPr="0008367B">
        <w:rPr>
          <w:rFonts w:ascii="Times New Roman" w:hAnsi="Times New Roman" w:cs="Times New Roman"/>
        </w:rPr>
        <w:t>.</w:t>
      </w:r>
      <w:proofErr w:type="gramEnd"/>
      <w:r w:rsidRPr="0008367B">
        <w:rPr>
          <w:rFonts w:ascii="Times New Roman" w:hAnsi="Times New Roman" w:cs="Times New Roman"/>
        </w:rPr>
        <w:t xml:space="preserve"> </w:t>
      </w:r>
      <w:proofErr w:type="gramStart"/>
      <w:r w:rsidRPr="0008367B">
        <w:rPr>
          <w:rFonts w:ascii="Times New Roman" w:hAnsi="Times New Roman" w:cs="Times New Roman"/>
        </w:rPr>
        <w:t>704 (5th Cir. 2002).</w:t>
      </w:r>
      <w:proofErr w:type="gramEnd"/>
      <w:r w:rsidRPr="0008367B">
        <w:rPr>
          <w:rFonts w:ascii="Times New Roman" w:hAnsi="Times New Roman" w:cs="Times New Roman"/>
        </w:rPr>
        <w:t xml:space="preserve"> California law applies in determining petitioner's property rights in the property.</w:t>
      </w: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rPr>
        <w:t xml:space="preserve">California law provides that the owner of legal title to property is presumed to be the owner of full beneficial title as well. </w:t>
      </w:r>
      <w:proofErr w:type="gramStart"/>
      <w:r w:rsidRPr="0008367B">
        <w:rPr>
          <w:rFonts w:ascii="Times New Roman" w:hAnsi="Times New Roman" w:cs="Times New Roman"/>
        </w:rPr>
        <w:t xml:space="preserve">Cal. </w:t>
      </w:r>
      <w:proofErr w:type="spellStart"/>
      <w:r w:rsidRPr="0008367B">
        <w:rPr>
          <w:rFonts w:ascii="Times New Roman" w:hAnsi="Times New Roman" w:cs="Times New Roman"/>
        </w:rPr>
        <w:t>Evid</w:t>
      </w:r>
      <w:proofErr w:type="spellEnd"/>
      <w:r w:rsidRPr="0008367B">
        <w:rPr>
          <w:rFonts w:ascii="Times New Roman" w:hAnsi="Times New Roman" w:cs="Times New Roman"/>
        </w:rPr>
        <w:t>.</w:t>
      </w:r>
      <w:proofErr w:type="gramEnd"/>
      <w:r w:rsidRPr="0008367B">
        <w:rPr>
          <w:rFonts w:ascii="Times New Roman" w:hAnsi="Times New Roman" w:cs="Times New Roman"/>
        </w:rPr>
        <w:t xml:space="preserve"> </w:t>
      </w:r>
      <w:proofErr w:type="gramStart"/>
      <w:r w:rsidRPr="0008367B">
        <w:rPr>
          <w:rFonts w:ascii="Times New Roman" w:hAnsi="Times New Roman" w:cs="Times New Roman"/>
        </w:rPr>
        <w:t>Code sec. 662 (West 1995).</w:t>
      </w:r>
      <w:proofErr w:type="gramEnd"/>
      <w:r w:rsidRPr="0008367B">
        <w:rPr>
          <w:rFonts w:ascii="Times New Roman" w:hAnsi="Times New Roman" w:cs="Times New Roman"/>
        </w:rPr>
        <w:t xml:space="preserve"> This presumption may be rebutted by clear and convincing proof. Id. Petitioner's name was not added to the legal title to the property until 2013. Petitioner must overcome the presumption by providing clear and convincing proof that he had an equitable ownership interest in the property when he made the mortgage payments in 2010.</w:t>
      </w: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rPr>
        <w:t xml:space="preserve">Under California law an individual may overcome the presumption that the legal owner is also the equitable owner by showing that there exists an agreement or understanding between the parties evidencing an intent contrary to that which is reflected in the deed. </w:t>
      </w:r>
      <w:proofErr w:type="gramStart"/>
      <w:r w:rsidRPr="0008367B">
        <w:rPr>
          <w:rFonts w:ascii="Times New Roman" w:hAnsi="Times New Roman" w:cs="Times New Roman"/>
        </w:rPr>
        <w:t xml:space="preserve">In re Marriage of </w:t>
      </w:r>
      <w:proofErr w:type="spellStart"/>
      <w:r w:rsidRPr="0008367B">
        <w:rPr>
          <w:rFonts w:ascii="Times New Roman" w:hAnsi="Times New Roman" w:cs="Times New Roman"/>
        </w:rPr>
        <w:t>Fossum</w:t>
      </w:r>
      <w:proofErr w:type="spellEnd"/>
      <w:r w:rsidRPr="0008367B">
        <w:rPr>
          <w:rFonts w:ascii="Times New Roman" w:hAnsi="Times New Roman" w:cs="Times New Roman"/>
        </w:rPr>
        <w:t xml:space="preserve">, 121 Cal. </w:t>
      </w:r>
      <w:proofErr w:type="spellStart"/>
      <w:r w:rsidRPr="0008367B">
        <w:rPr>
          <w:rFonts w:ascii="Times New Roman" w:hAnsi="Times New Roman" w:cs="Times New Roman"/>
        </w:rPr>
        <w:t>Rptr</w:t>
      </w:r>
      <w:proofErr w:type="spellEnd"/>
      <w:r w:rsidRPr="0008367B">
        <w:rPr>
          <w:rFonts w:ascii="Times New Roman" w:hAnsi="Times New Roman" w:cs="Times New Roman"/>
        </w:rPr>
        <w:t>. 3d 195, 202 (Ct. App. 2011).</w:t>
      </w:r>
      <w:proofErr w:type="gramEnd"/>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rPr>
        <w:t xml:space="preserve">Petitioner testified credibly that his family had granted him an interest in the property and would allow him to add his name to the title at any time if he paid the property expenses. </w:t>
      </w:r>
      <w:proofErr w:type="gramStart"/>
      <w:r w:rsidRPr="0008367B">
        <w:rPr>
          <w:rFonts w:ascii="Times New Roman" w:hAnsi="Times New Roman" w:cs="Times New Roman"/>
        </w:rPr>
        <w:t xml:space="preserve">Cf. </w:t>
      </w:r>
      <w:proofErr w:type="spellStart"/>
      <w:r w:rsidRPr="0008367B">
        <w:rPr>
          <w:rFonts w:ascii="Times New Roman" w:hAnsi="Times New Roman" w:cs="Times New Roman"/>
        </w:rPr>
        <w:t>Puentes</w:t>
      </w:r>
      <w:proofErr w:type="spellEnd"/>
      <w:r w:rsidRPr="0008367B">
        <w:rPr>
          <w:rFonts w:ascii="Times New Roman" w:hAnsi="Times New Roman" w:cs="Times New Roman"/>
        </w:rPr>
        <w:t xml:space="preserve"> v. Commissioner, T.C. Memo.</w:t>
      </w:r>
      <w:proofErr w:type="gramEnd"/>
      <w:r w:rsidRPr="0008367B">
        <w:rPr>
          <w:rFonts w:ascii="Times New Roman" w:hAnsi="Times New Roman" w:cs="Times New Roman"/>
        </w:rPr>
        <w:t xml:space="preserve"> 2014-224, at *7-*8 (holding that the taxpayer </w:t>
      </w:r>
      <w:r w:rsidRPr="0008367B">
        <w:rPr>
          <w:rFonts w:ascii="Times New Roman" w:hAnsi="Times New Roman" w:cs="Times New Roman"/>
        </w:rPr>
        <w:lastRenderedPageBreak/>
        <w:t>was not the equitable owner of the property because she failed to provide any evidence of an agreement evidencing an intent contrary to that reflected in the deed). His name was added to the title in 2013. Petitioner testified that his name was not added to the title earlier because of his financial status. Petitioner's evidence is credible and shows his family's agreement that he was a beneficial owner of the property.</w:t>
      </w:r>
    </w:p>
    <w:p w:rsidR="0008367B" w:rsidRPr="0008367B" w:rsidRDefault="0008367B" w:rsidP="0008367B">
      <w:pPr>
        <w:widowControl w:val="0"/>
        <w:tabs>
          <w:tab w:val="left" w:pos="0"/>
        </w:tabs>
        <w:spacing w:before="60" w:after="0" w:line="200" w:lineRule="atLeast"/>
        <w:rPr>
          <w:rFonts w:ascii="Times New Roman" w:hAnsi="Times New Roman" w:cs="Times New Roman"/>
        </w:rPr>
      </w:pPr>
      <w:r w:rsidRPr="0008367B">
        <w:rPr>
          <w:rFonts w:ascii="Times New Roman" w:hAnsi="Times New Roman" w:cs="Times New Roman"/>
          <w:b/>
        </w:rPr>
        <w:t>We have held that a taxpayer may become the equitable owner of property if he or she assumes the benefits and burdens of ownership.</w:t>
      </w:r>
      <w:r w:rsidRPr="0008367B">
        <w:rPr>
          <w:rFonts w:ascii="Times New Roman" w:hAnsi="Times New Roman" w:cs="Times New Roman"/>
        </w:rPr>
        <w:t xml:space="preserve"> See Baird v. Commissioner, </w:t>
      </w:r>
      <w:proofErr w:type="gramStart"/>
      <w:r w:rsidRPr="0008367B">
        <w:rPr>
          <w:rFonts w:ascii="Times New Roman" w:hAnsi="Times New Roman" w:cs="Times New Roman"/>
        </w:rPr>
        <w:t>68 T.C. 115, 124</w:t>
      </w:r>
      <w:proofErr w:type="gramEnd"/>
      <w:r w:rsidRPr="0008367B">
        <w:rPr>
          <w:rFonts w:ascii="Times New Roman" w:hAnsi="Times New Roman" w:cs="Times New Roman"/>
        </w:rPr>
        <w:t xml:space="preserve"> (1977). In determining whether the benefits and burdens of ownership have been transferred to a taxpayer, this </w:t>
      </w:r>
      <w:r w:rsidRPr="0008367B">
        <w:rPr>
          <w:rFonts w:ascii="Times New Roman" w:hAnsi="Times New Roman" w:cs="Times New Roman"/>
          <w:b/>
        </w:rPr>
        <w:t xml:space="preserve">Court has often considered whether the taxpayer: </w:t>
      </w:r>
      <w:r w:rsidRPr="0008367B">
        <w:rPr>
          <w:rFonts w:ascii="Times New Roman" w:hAnsi="Times New Roman" w:cs="Times New Roman"/>
        </w:rPr>
        <w:t xml:space="preserve">(1) has a right to possess the property and to enjoy the use, rents, or profits thereof; (2) has a duty to maintain the property; (3) is responsible for insuring the property; (4) bears the property's risk of loss; (5) is obligated to pay the property's taxes, assessments, or charges; (6) has the right to improve the property without the owner's consent; and (7) has the right to obtain legal title at any time by paying the balance of the purchase price. </w:t>
      </w:r>
      <w:proofErr w:type="gramStart"/>
      <w:r w:rsidRPr="0008367B">
        <w:rPr>
          <w:rFonts w:ascii="Times New Roman" w:hAnsi="Times New Roman" w:cs="Times New Roman"/>
        </w:rPr>
        <w:t>Blanche v.</w:t>
      </w:r>
      <w:r>
        <w:rPr>
          <w:rFonts w:ascii="Times New Roman" w:hAnsi="Times New Roman" w:cs="Times New Roman"/>
        </w:rPr>
        <w:t xml:space="preserve"> Commissioner</w:t>
      </w:r>
      <w:r w:rsidRPr="0008367B">
        <w:rPr>
          <w:rFonts w:ascii="Times New Roman" w:hAnsi="Times New Roman" w:cs="Times New Roman"/>
        </w:rPr>
        <w:t>.</w:t>
      </w:r>
      <w:proofErr w:type="gramEnd"/>
    </w:p>
    <w:p w:rsidR="0008367B" w:rsidRPr="0008367B" w:rsidRDefault="0008367B" w:rsidP="0008367B">
      <w:pPr>
        <w:widowControl w:val="0"/>
        <w:tabs>
          <w:tab w:val="left" w:pos="0"/>
        </w:tabs>
        <w:spacing w:before="60" w:after="0" w:line="200" w:lineRule="atLeast"/>
        <w:rPr>
          <w:rFonts w:ascii="Times New Roman" w:hAnsi="Times New Roman" w:cs="Times New Roman"/>
          <w:b/>
        </w:rPr>
      </w:pPr>
      <w:r w:rsidRPr="0008367B">
        <w:rPr>
          <w:rFonts w:ascii="Times New Roman" w:hAnsi="Times New Roman" w:cs="Times New Roman"/>
          <w:b/>
        </w:rPr>
        <w:t>Petitioner resided at the property in 2010, consistent with his right to possess and enjoy use of the property. Petitioner also took a number of actions consistent with performing his duties, responsibilities, and obligations under the agreement with his family. He made the mortgage payments before, during, and after 2010. He testified credibly that he made the property tax and insurance payments, paid the cable bill, maintained the property, and made improvements to the property. The property was three acres, and he testified that his mother was unable to care for it. As a result of these actions, petitioner was granted the right to add his name to the legal title to the property. Petitioner also bore a substantial risk of loss because he stood to lose the funds spent to build his equitable interest. On the facts and circumstances of this case, we find that petitioner has provided clear and convincing evidence that he was an equitable owner of the property in 2010.</w:t>
      </w:r>
    </w:p>
    <w:p w:rsidR="0008367B" w:rsidRPr="0008367B" w:rsidRDefault="0008367B" w:rsidP="0008367B">
      <w:pPr>
        <w:widowControl w:val="0"/>
        <w:tabs>
          <w:tab w:val="left" w:pos="0"/>
        </w:tabs>
        <w:spacing w:before="240" w:after="0" w:line="200" w:lineRule="atLeast"/>
        <w:rPr>
          <w:rFonts w:ascii="Times New Roman" w:hAnsi="Times New Roman" w:cs="Times New Roman"/>
          <w:b/>
        </w:rPr>
      </w:pPr>
      <w:r w:rsidRPr="0008367B">
        <w:rPr>
          <w:rFonts w:ascii="Times New Roman" w:hAnsi="Times New Roman" w:cs="Times New Roman"/>
          <w:b/>
        </w:rPr>
        <w:t>We do not sustain respondent's deficiency determination and therefore need not decide whether an accuracy-related penalty under section 6662(a) would be appropriate.</w:t>
      </w:r>
    </w:p>
    <w:p w:rsidR="0008367B" w:rsidRPr="0008367B" w:rsidRDefault="0008367B" w:rsidP="0008367B">
      <w:pPr>
        <w:widowControl w:val="0"/>
        <w:tabs>
          <w:tab w:val="left" w:pos="0"/>
        </w:tabs>
        <w:spacing w:after="0" w:line="200" w:lineRule="atLeast"/>
        <w:rPr>
          <w:rFonts w:ascii="Times New Roman" w:hAnsi="Times New Roman" w:cs="Times New Roman"/>
        </w:rPr>
      </w:pPr>
      <w:r w:rsidRPr="0008367B">
        <w:rPr>
          <w:rFonts w:ascii="Times New Roman" w:hAnsi="Times New Roman" w:cs="Times New Roman"/>
        </w:rPr>
        <w:t>Any contentions we have not addressed are irrelevant, moot, or meritless.</w:t>
      </w:r>
      <w:r>
        <w:rPr>
          <w:rFonts w:ascii="Times New Roman" w:hAnsi="Times New Roman" w:cs="Times New Roman"/>
        </w:rPr>
        <w:t xml:space="preserve"> </w:t>
      </w:r>
    </w:p>
    <w:p w:rsidR="0008367B" w:rsidRDefault="0008367B" w:rsidP="0008367B">
      <w:pPr>
        <w:widowControl w:val="0"/>
        <w:tabs>
          <w:tab w:val="left" w:pos="0"/>
        </w:tabs>
        <w:spacing w:before="120" w:after="0" w:line="200" w:lineRule="atLeast"/>
        <w:rPr>
          <w:rFonts w:ascii="Times New Roman" w:hAnsi="Times New Roman" w:cs="Times New Roman"/>
          <w:b/>
        </w:rPr>
        <w:sectPr w:rsidR="0008367B" w:rsidSect="0008367B">
          <w:type w:val="continuous"/>
          <w:pgSz w:w="12240" w:h="15840" w:code="1"/>
          <w:pgMar w:top="720" w:right="864" w:bottom="720" w:left="864" w:header="432" w:footer="432" w:gutter="0"/>
          <w:cols w:num="2" w:space="540"/>
          <w:docGrid w:linePitch="360"/>
        </w:sectPr>
      </w:pPr>
      <w:r w:rsidRPr="0008367B">
        <w:rPr>
          <w:rFonts w:ascii="Times New Roman" w:hAnsi="Times New Roman" w:cs="Times New Roman"/>
          <w:b/>
        </w:rPr>
        <w:t>To reflect the foregoing, Decision will be entered for petitioner.</w:t>
      </w:r>
      <w:r w:rsidRPr="0008367B">
        <w:rPr>
          <w:rFonts w:ascii="Times New Roman" w:hAnsi="Times New Roman" w:cs="Times New Roman"/>
          <w:b/>
        </w:rPr>
        <w:cr/>
      </w:r>
    </w:p>
    <w:p w:rsidR="0008367B" w:rsidRPr="0008367B" w:rsidRDefault="0008367B" w:rsidP="0008367B">
      <w:pPr>
        <w:widowControl w:val="0"/>
        <w:spacing w:before="120" w:after="0" w:line="200" w:lineRule="atLeast"/>
        <w:rPr>
          <w:rFonts w:ascii="Times New Roman" w:hAnsi="Times New Roman" w:cs="Times New Roman"/>
          <w:b/>
        </w:rPr>
      </w:pPr>
      <w:r w:rsidRPr="0008367B">
        <w:rPr>
          <w:rFonts w:ascii="Times New Roman" w:hAnsi="Times New Roman" w:cs="Times New Roman"/>
          <w:b/>
        </w:rPr>
        <w:lastRenderedPageBreak/>
        <w:cr/>
      </w:r>
    </w:p>
    <w:sectPr w:rsidR="0008367B" w:rsidRPr="0008367B" w:rsidSect="0008367B">
      <w:type w:val="continuous"/>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82" w:rsidRDefault="006D3D82" w:rsidP="0008367B">
      <w:pPr>
        <w:spacing w:after="0" w:line="240" w:lineRule="auto"/>
      </w:pPr>
      <w:r>
        <w:separator/>
      </w:r>
    </w:p>
  </w:endnote>
  <w:endnote w:type="continuationSeparator" w:id="0">
    <w:p w:rsidR="006D3D82" w:rsidRDefault="006D3D82" w:rsidP="0008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7B" w:rsidRDefault="006D3D82" w:rsidP="0008367B">
    <w:pPr>
      <w:pStyle w:val="Footer"/>
      <w:widowControl w:val="0"/>
    </w:pPr>
    <w:r>
      <w:fldChar w:fldCharType="begin"/>
    </w:r>
    <w:r>
      <w:instrText xml:space="preserve"> FILENAME   \* MERGEFORMAT </w:instrText>
    </w:r>
    <w:r>
      <w:fldChar w:fldCharType="separate"/>
    </w:r>
    <w:r w:rsidR="007E746D">
      <w:rPr>
        <w:noProof/>
      </w:rPr>
      <w:t>T15F-Chap-02-Mortgage Interest Deduction-Qui Van Phan-2015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82" w:rsidRDefault="006D3D82" w:rsidP="0008367B">
      <w:pPr>
        <w:spacing w:after="0" w:line="240" w:lineRule="auto"/>
      </w:pPr>
      <w:r>
        <w:separator/>
      </w:r>
    </w:p>
  </w:footnote>
  <w:footnote w:type="continuationSeparator" w:id="0">
    <w:p w:rsidR="006D3D82" w:rsidRDefault="006D3D82" w:rsidP="00083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7B"/>
    <w:rsid w:val="0008367B"/>
    <w:rsid w:val="00240F91"/>
    <w:rsid w:val="00532707"/>
    <w:rsid w:val="006518C2"/>
    <w:rsid w:val="006D3D82"/>
    <w:rsid w:val="007E746D"/>
    <w:rsid w:val="00870CC9"/>
    <w:rsid w:val="00A14030"/>
    <w:rsid w:val="00CA2E7A"/>
    <w:rsid w:val="00E7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7B"/>
  </w:style>
  <w:style w:type="paragraph" w:styleId="Footer">
    <w:name w:val="footer"/>
    <w:basedOn w:val="Normal"/>
    <w:link w:val="FooterChar"/>
    <w:uiPriority w:val="99"/>
    <w:unhideWhenUsed/>
    <w:rsid w:val="00083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7B"/>
  </w:style>
  <w:style w:type="paragraph" w:styleId="Footer">
    <w:name w:val="footer"/>
    <w:basedOn w:val="Normal"/>
    <w:link w:val="FooterChar"/>
    <w:uiPriority w:val="99"/>
    <w:unhideWhenUsed/>
    <w:rsid w:val="00083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HowardGodfrey</dc:creator>
  <cp:lastModifiedBy>HowardGodfrey</cp:lastModifiedBy>
  <cp:revision>5</cp:revision>
  <cp:lastPrinted>2015-09-01T02:29:00Z</cp:lastPrinted>
  <dcterms:created xsi:type="dcterms:W3CDTF">2015-09-01T02:17:00Z</dcterms:created>
  <dcterms:modified xsi:type="dcterms:W3CDTF">2015-09-01T02:48:00Z</dcterms:modified>
</cp:coreProperties>
</file>