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09B" w:rsidRPr="00D81B2D" w:rsidRDefault="002F509B" w:rsidP="00D81B2D">
      <w:pPr>
        <w:spacing w:after="240"/>
        <w:rPr>
          <w:b/>
          <w:bCs/>
          <w:color w:val="000000"/>
          <w:sz w:val="22"/>
          <w:szCs w:val="22"/>
        </w:rPr>
      </w:pPr>
      <w:bookmarkStart w:id="0" w:name="_GoBack"/>
      <w:bookmarkEnd w:id="0"/>
      <w:r w:rsidRPr="00F4637D">
        <w:rPr>
          <w:b/>
          <w:sz w:val="22"/>
          <w:szCs w:val="22"/>
        </w:rPr>
        <w:t>TCM, [CCH Dec. 50,044(M)] , Frank J. Leou, M.D., P.A. v. Commissioner, S corporations: Bu</w:t>
      </w:r>
      <w:r w:rsidR="00D81B2D" w:rsidRPr="00F4637D">
        <w:rPr>
          <w:b/>
          <w:sz w:val="22"/>
          <w:szCs w:val="22"/>
        </w:rPr>
        <w:t>ilt-in gains.</w:t>
      </w:r>
      <w:r w:rsidRPr="00F4637D">
        <w:rPr>
          <w:b/>
          <w:sz w:val="22"/>
          <w:szCs w:val="22"/>
        </w:rPr>
        <w:t xml:space="preserve"> (Aug. 17, 1994)</w:t>
      </w:r>
      <w:r w:rsidR="00D81B2D" w:rsidRPr="00F4637D">
        <w:rPr>
          <w:b/>
          <w:color w:val="000000"/>
          <w:sz w:val="22"/>
          <w:szCs w:val="22"/>
        </w:rPr>
        <w:t xml:space="preserve"> </w:t>
      </w:r>
      <w:r w:rsidRPr="00D81B2D">
        <w:rPr>
          <w:color w:val="000000"/>
          <w:sz w:val="22"/>
          <w:szCs w:val="22"/>
        </w:rPr>
        <w:br/>
      </w:r>
      <w:r w:rsidRPr="00D81B2D">
        <w:rPr>
          <w:color w:val="000000"/>
          <w:sz w:val="22"/>
          <w:szCs w:val="22"/>
        </w:rPr>
        <w:br/>
        <w:t xml:space="preserve">Docket No. 8271-93., </w:t>
      </w:r>
      <w:bookmarkStart w:id="1" w:name="HI0001E0028000431567"/>
      <w:bookmarkEnd w:id="1"/>
      <w:r w:rsidRPr="00D81B2D">
        <w:rPr>
          <w:color w:val="000000"/>
          <w:sz w:val="22"/>
          <w:szCs w:val="22"/>
        </w:rPr>
        <w:t>TC Memo. 1994-393, 68 TCM 404, Filed August 17, 1994</w:t>
      </w:r>
      <w:r w:rsidRPr="00D81B2D">
        <w:rPr>
          <w:color w:val="000000"/>
          <w:sz w:val="22"/>
          <w:szCs w:val="22"/>
        </w:rPr>
        <w:br/>
      </w:r>
      <w:r w:rsidRPr="00D81B2D">
        <w:rPr>
          <w:color w:val="000000"/>
          <w:sz w:val="22"/>
          <w:szCs w:val="22"/>
        </w:rPr>
        <w:br/>
        <w:t>[Appealable, barring stipulation to the contrary, to CA-8.--CCH.]</w:t>
      </w:r>
    </w:p>
    <w:p w:rsidR="002F509B" w:rsidRPr="00D81B2D" w:rsidRDefault="002F509B" w:rsidP="00D81B2D">
      <w:pPr>
        <w:spacing w:before="120"/>
        <w:jc w:val="center"/>
        <w:rPr>
          <w:color w:val="000000"/>
          <w:sz w:val="22"/>
          <w:szCs w:val="22"/>
        </w:rPr>
      </w:pPr>
      <w:r w:rsidRPr="00D81B2D">
        <w:rPr>
          <w:color w:val="000000"/>
          <w:sz w:val="22"/>
          <w:szCs w:val="22"/>
        </w:rPr>
        <w:t>[</w:t>
      </w:r>
      <w:r w:rsidRPr="00D81B2D">
        <w:rPr>
          <w:i/>
          <w:iCs/>
          <w:color w:val="000000"/>
          <w:sz w:val="22"/>
          <w:szCs w:val="22"/>
        </w:rPr>
        <w:t xml:space="preserve">Code </w:t>
      </w:r>
      <w:hyperlink r:id="rId6" w:history="1">
        <w:r w:rsidRPr="00D81B2D">
          <w:rPr>
            <w:rStyle w:val="Hyperlink"/>
            <w:rFonts w:ascii="Times New Roman" w:hAnsi="Times New Roman" w:cs="Times New Roman"/>
            <w:i/>
            <w:iCs/>
            <w:sz w:val="22"/>
            <w:szCs w:val="22"/>
          </w:rPr>
          <w:t xml:space="preserve">Sec. 1374 </w:t>
        </w:r>
      </w:hyperlink>
      <w:r w:rsidRPr="00D81B2D">
        <w:rPr>
          <w:color w:val="000000"/>
          <w:sz w:val="22"/>
          <w:szCs w:val="22"/>
        </w:rPr>
        <w:t>]</w:t>
      </w:r>
    </w:p>
    <w:p w:rsidR="002F509B" w:rsidRPr="00D81B2D" w:rsidRDefault="002F509B" w:rsidP="00D81B2D">
      <w:pPr>
        <w:spacing w:before="120"/>
        <w:rPr>
          <w:color w:val="000000"/>
          <w:sz w:val="22"/>
          <w:szCs w:val="22"/>
        </w:rPr>
      </w:pPr>
      <w:r w:rsidRPr="00D81B2D">
        <w:rPr>
          <w:color w:val="000000"/>
          <w:sz w:val="22"/>
          <w:szCs w:val="22"/>
        </w:rPr>
        <w:t>S corporations: Built-in gains.--A cash-method medical services business that held accounts receivable on its last day as a C corporation was required to treat amounts collected on those accounts during the next year, for which it had elected S status, as net recognized built-in gain. A statutory amendment to the built-in gain rules, which retroactively applied to the year at issue, clearly extended the application of the rules to collections on accounts receivable.--CCH.</w:t>
      </w:r>
    </w:p>
    <w:p w:rsidR="002F509B" w:rsidRPr="00D81B2D" w:rsidRDefault="002F509B" w:rsidP="00D81B2D">
      <w:pPr>
        <w:pStyle w:val="NormalWeb"/>
        <w:spacing w:before="120" w:beforeAutospacing="0" w:after="0" w:afterAutospacing="0"/>
        <w:rPr>
          <w:rFonts w:ascii="Times New Roman" w:hAnsi="Times New Roman" w:cs="Times New Roman"/>
          <w:sz w:val="22"/>
          <w:szCs w:val="22"/>
        </w:rPr>
      </w:pPr>
      <w:r w:rsidRPr="00D81B2D">
        <w:rPr>
          <w:rFonts w:ascii="Times New Roman" w:hAnsi="Times New Roman" w:cs="Times New Roman"/>
          <w:sz w:val="22"/>
          <w:szCs w:val="22"/>
        </w:rPr>
        <w:t xml:space="preserve">David J. Wood, </w:t>
      </w:r>
      <w:smartTag w:uri="urn:schemas-microsoft-com:office:smarttags" w:element="address">
        <w:smartTag w:uri="urn:schemas-microsoft-com:office:smarttags" w:element="Street">
          <w:r w:rsidRPr="00D81B2D">
            <w:rPr>
              <w:rFonts w:ascii="Times New Roman" w:hAnsi="Times New Roman" w:cs="Times New Roman"/>
              <w:sz w:val="22"/>
              <w:szCs w:val="22"/>
            </w:rPr>
            <w:t>809 W. 2nd St.</w:t>
          </w:r>
        </w:smartTag>
        <w:r w:rsidRPr="00D81B2D">
          <w:rPr>
            <w:rFonts w:ascii="Times New Roman" w:hAnsi="Times New Roman" w:cs="Times New Roman"/>
            <w:sz w:val="22"/>
            <w:szCs w:val="22"/>
          </w:rPr>
          <w:t xml:space="preserve">, </w:t>
        </w:r>
        <w:smartTag w:uri="urn:schemas-microsoft-com:office:smarttags" w:element="City">
          <w:r w:rsidRPr="00D81B2D">
            <w:rPr>
              <w:rFonts w:ascii="Times New Roman" w:hAnsi="Times New Roman" w:cs="Times New Roman"/>
              <w:sz w:val="22"/>
              <w:szCs w:val="22"/>
            </w:rPr>
            <w:t>Little Rock</w:t>
          </w:r>
        </w:smartTag>
        <w:r w:rsidRPr="00D81B2D">
          <w:rPr>
            <w:rFonts w:ascii="Times New Roman" w:hAnsi="Times New Roman" w:cs="Times New Roman"/>
            <w:sz w:val="22"/>
            <w:szCs w:val="22"/>
          </w:rPr>
          <w:t xml:space="preserve">, </w:t>
        </w:r>
        <w:smartTag w:uri="urn:schemas-microsoft-com:office:smarttags" w:element="State">
          <w:r w:rsidRPr="00D81B2D">
            <w:rPr>
              <w:rFonts w:ascii="Times New Roman" w:hAnsi="Times New Roman" w:cs="Times New Roman"/>
              <w:sz w:val="22"/>
              <w:szCs w:val="22"/>
            </w:rPr>
            <w:t>Ark.</w:t>
          </w:r>
        </w:smartTag>
      </w:smartTag>
      <w:r w:rsidRPr="00D81B2D">
        <w:rPr>
          <w:rFonts w:ascii="Times New Roman" w:hAnsi="Times New Roman" w:cs="Times New Roman"/>
          <w:sz w:val="22"/>
          <w:szCs w:val="22"/>
        </w:rPr>
        <w:t>, for the petitioner. Edsel Ford Holman, Jr. and Robert B. Nadler, for the respondent.</w:t>
      </w:r>
    </w:p>
    <w:p w:rsidR="002F509B" w:rsidRPr="00D81B2D" w:rsidRDefault="002F509B" w:rsidP="00D81B2D">
      <w:pPr>
        <w:spacing w:before="120"/>
        <w:rPr>
          <w:color w:val="000000"/>
          <w:sz w:val="22"/>
          <w:szCs w:val="22"/>
        </w:rPr>
      </w:pPr>
      <w:r w:rsidRPr="00D81B2D">
        <w:rPr>
          <w:b/>
          <w:bCs/>
          <w:color w:val="000000"/>
          <w:sz w:val="22"/>
          <w:szCs w:val="22"/>
        </w:rPr>
        <w:t>Memorandum Opinion</w:t>
      </w:r>
    </w:p>
    <w:p w:rsidR="002F509B" w:rsidRPr="00D81B2D" w:rsidRDefault="002F509B" w:rsidP="00D81B2D">
      <w:pPr>
        <w:pStyle w:val="NormalWeb"/>
        <w:spacing w:before="120" w:beforeAutospacing="0" w:after="0" w:afterAutospacing="0"/>
        <w:ind w:firstLine="240"/>
        <w:rPr>
          <w:rFonts w:ascii="Times New Roman" w:hAnsi="Times New Roman" w:cs="Times New Roman"/>
          <w:sz w:val="22"/>
          <w:szCs w:val="22"/>
        </w:rPr>
      </w:pPr>
      <w:r w:rsidRPr="00D81B2D">
        <w:rPr>
          <w:rFonts w:ascii="Times New Roman" w:hAnsi="Times New Roman" w:cs="Times New Roman"/>
          <w:sz w:val="22"/>
          <w:szCs w:val="22"/>
        </w:rPr>
        <w:t>POWELL, Special Trial Judge:</w:t>
      </w:r>
    </w:p>
    <w:p w:rsidR="002F509B" w:rsidRPr="00D81B2D" w:rsidRDefault="002F509B" w:rsidP="00D81B2D">
      <w:pPr>
        <w:pStyle w:val="NormalWeb"/>
        <w:spacing w:before="120" w:beforeAutospacing="0" w:after="0" w:afterAutospacing="0"/>
        <w:ind w:firstLine="240"/>
        <w:rPr>
          <w:rFonts w:ascii="Times New Roman" w:hAnsi="Times New Roman" w:cs="Times New Roman"/>
          <w:sz w:val="22"/>
          <w:szCs w:val="22"/>
        </w:rPr>
      </w:pPr>
      <w:r w:rsidRPr="00D81B2D">
        <w:rPr>
          <w:rFonts w:ascii="Times New Roman" w:hAnsi="Times New Roman" w:cs="Times New Roman"/>
          <w:sz w:val="22"/>
          <w:szCs w:val="22"/>
        </w:rPr>
        <w:t xml:space="preserve">This case was assigned pursuant to the provisions of </w:t>
      </w:r>
      <w:hyperlink r:id="rId7" w:history="1">
        <w:r w:rsidRPr="00D81B2D">
          <w:rPr>
            <w:rStyle w:val="Hyperlink"/>
            <w:rFonts w:ascii="Times New Roman" w:hAnsi="Times New Roman" w:cs="Times New Roman"/>
            <w:sz w:val="22"/>
            <w:szCs w:val="22"/>
          </w:rPr>
          <w:t xml:space="preserve">section 7443A(b)(3) </w:t>
        </w:r>
      </w:hyperlink>
      <w:r w:rsidRPr="00D81B2D">
        <w:rPr>
          <w:rFonts w:ascii="Times New Roman" w:hAnsi="Times New Roman" w:cs="Times New Roman"/>
          <w:sz w:val="22"/>
          <w:szCs w:val="22"/>
        </w:rPr>
        <w:t xml:space="preserve">and Rules 180, 181, and 182. </w:t>
      </w:r>
      <w:bookmarkStart w:id="2" w:name="FR1001E0028000431567"/>
      <w:r w:rsidRPr="00D81B2D">
        <w:rPr>
          <w:rFonts w:ascii="Times New Roman" w:hAnsi="Times New Roman" w:cs="Times New Roman"/>
          <w:sz w:val="22"/>
          <w:szCs w:val="22"/>
          <w:vertAlign w:val="superscript"/>
        </w:rPr>
        <w:fldChar w:fldCharType="begin"/>
      </w:r>
      <w:r w:rsidRPr="00D81B2D">
        <w:rPr>
          <w:rFonts w:ascii="Times New Roman" w:hAnsi="Times New Roman" w:cs="Times New Roman"/>
          <w:sz w:val="22"/>
          <w:szCs w:val="22"/>
          <w:vertAlign w:val="superscript"/>
        </w:rPr>
        <w:instrText xml:space="preserve"> HYPERLINK "http://tax.cchgroup.com/primesrc/bin/highwire.dll?U=yqqf18&amp;MH=200&amp;QBE=N&amp;RR=Y&amp;ATH=Y&amp;KM=Y&amp;PLT=B&amp;DI=1034E749E74A71A833BDcchnavapp008%3B216.251.244.147&amp;LI=00040000000D&amp;fShowByPubs=NO&amp;NSH=1&amp;DocInternalLink=001E0028000431567&amp;fShowByTOC=NO&amp;fShowByTOCMode=FALSE&amp;fBBarInDoc=YES&amp;IP=1&amp;NSH=1&amp;iBBActions=2043759l&amp;fHasPrevDoc=Y&amp;fHasNextDoc=Y&amp;fIsSubLibLink=Y&amp;QDK=4&amp;UserInput=%20LINKTCM%20TCM%201994-393&amp;ModifiedLink=%20LINKTCM%20TCM%201994-393&amp;LinkString=TCM1994-393&amp;Handle=LINKTCM&amp;UE=&amp;a=dd&amp;fPrintUserID=N&amp;FRMS=DOC&amp;NFRM=DOC&amp;ult=h" \l "FN1001E0028000431567#FN1001E0028000431567" </w:instrText>
      </w:r>
      <w:r w:rsidRPr="00D81B2D">
        <w:rPr>
          <w:rFonts w:ascii="Times New Roman" w:hAnsi="Times New Roman" w:cs="Times New Roman"/>
          <w:sz w:val="22"/>
          <w:szCs w:val="22"/>
          <w:vertAlign w:val="superscript"/>
        </w:rPr>
        <w:fldChar w:fldCharType="separate"/>
      </w:r>
      <w:r w:rsidRPr="00D81B2D">
        <w:rPr>
          <w:rStyle w:val="Hyperlink"/>
          <w:rFonts w:ascii="Times New Roman" w:hAnsi="Times New Roman" w:cs="Times New Roman"/>
          <w:sz w:val="22"/>
          <w:szCs w:val="22"/>
          <w:vertAlign w:val="superscript"/>
        </w:rPr>
        <w:t>1</w:t>
      </w:r>
      <w:r w:rsidRPr="00D81B2D">
        <w:rPr>
          <w:rFonts w:ascii="Times New Roman" w:hAnsi="Times New Roman" w:cs="Times New Roman"/>
          <w:sz w:val="22"/>
          <w:szCs w:val="22"/>
          <w:vertAlign w:val="superscript"/>
        </w:rPr>
        <w:fldChar w:fldCharType="end"/>
      </w:r>
      <w:bookmarkEnd w:id="2"/>
      <w:r w:rsidRPr="00D81B2D">
        <w:rPr>
          <w:rFonts w:ascii="Times New Roman" w:hAnsi="Times New Roman" w:cs="Times New Roman"/>
          <w:sz w:val="22"/>
          <w:szCs w:val="22"/>
        </w:rPr>
        <w:t xml:space="preserve"> This case was submitted fully stipulated pursuant to Rule 122.</w:t>
      </w:r>
    </w:p>
    <w:p w:rsidR="002F509B" w:rsidRPr="00D81B2D" w:rsidRDefault="002F509B" w:rsidP="00D81B2D">
      <w:pPr>
        <w:pStyle w:val="NormalWeb"/>
        <w:spacing w:before="120" w:beforeAutospacing="0" w:after="0" w:afterAutospacing="0"/>
        <w:ind w:firstLine="240"/>
        <w:rPr>
          <w:rFonts w:ascii="Times New Roman" w:hAnsi="Times New Roman" w:cs="Times New Roman"/>
          <w:sz w:val="22"/>
          <w:szCs w:val="22"/>
        </w:rPr>
      </w:pPr>
      <w:r w:rsidRPr="00D81B2D">
        <w:rPr>
          <w:rFonts w:ascii="Times New Roman" w:hAnsi="Times New Roman" w:cs="Times New Roman"/>
          <w:sz w:val="22"/>
          <w:szCs w:val="22"/>
        </w:rPr>
        <w:t xml:space="preserve">Petitioner is an S corporation engaged in providing medical services. Its principal office was located in </w:t>
      </w:r>
      <w:smartTag w:uri="urn:schemas-microsoft-com:office:smarttags" w:element="place">
        <w:smartTag w:uri="urn:schemas-microsoft-com:office:smarttags" w:element="City">
          <w:r w:rsidRPr="00D81B2D">
            <w:rPr>
              <w:rFonts w:ascii="Times New Roman" w:hAnsi="Times New Roman" w:cs="Times New Roman"/>
              <w:sz w:val="22"/>
              <w:szCs w:val="22"/>
            </w:rPr>
            <w:t>Little Rock</w:t>
          </w:r>
        </w:smartTag>
        <w:r w:rsidRPr="00D81B2D">
          <w:rPr>
            <w:rFonts w:ascii="Times New Roman" w:hAnsi="Times New Roman" w:cs="Times New Roman"/>
            <w:sz w:val="22"/>
            <w:szCs w:val="22"/>
          </w:rPr>
          <w:t xml:space="preserve">, </w:t>
        </w:r>
        <w:smartTag w:uri="urn:schemas-microsoft-com:office:smarttags" w:element="State">
          <w:r w:rsidRPr="00D81B2D">
            <w:rPr>
              <w:rFonts w:ascii="Times New Roman" w:hAnsi="Times New Roman" w:cs="Times New Roman"/>
              <w:sz w:val="22"/>
              <w:szCs w:val="22"/>
            </w:rPr>
            <w:t>Arkansas</w:t>
          </w:r>
        </w:smartTag>
      </w:smartTag>
      <w:r w:rsidRPr="00D81B2D">
        <w:rPr>
          <w:rFonts w:ascii="Times New Roman" w:hAnsi="Times New Roman" w:cs="Times New Roman"/>
          <w:sz w:val="22"/>
          <w:szCs w:val="22"/>
        </w:rPr>
        <w:t xml:space="preserve">, at the time the petition was filed. Petitioner timely filed its Federal income tax return, Form 1120S, for the taxable year 1988 with the </w:t>
      </w:r>
      <w:smartTag w:uri="urn:schemas-microsoft-com:office:smarttags" w:element="PlaceName">
        <w:r w:rsidRPr="00D81B2D">
          <w:rPr>
            <w:rFonts w:ascii="Times New Roman" w:hAnsi="Times New Roman" w:cs="Times New Roman"/>
            <w:sz w:val="22"/>
            <w:szCs w:val="22"/>
          </w:rPr>
          <w:t>Internal</w:t>
        </w:r>
      </w:smartTag>
      <w:r w:rsidRPr="00D81B2D">
        <w:rPr>
          <w:rFonts w:ascii="Times New Roman" w:hAnsi="Times New Roman" w:cs="Times New Roman"/>
          <w:sz w:val="22"/>
          <w:szCs w:val="22"/>
        </w:rPr>
        <w:t xml:space="preserve"> </w:t>
      </w:r>
      <w:smartTag w:uri="urn:schemas-microsoft-com:office:smarttags" w:element="PlaceName">
        <w:r w:rsidRPr="00D81B2D">
          <w:rPr>
            <w:rFonts w:ascii="Times New Roman" w:hAnsi="Times New Roman" w:cs="Times New Roman"/>
            <w:sz w:val="22"/>
            <w:szCs w:val="22"/>
          </w:rPr>
          <w:t>Revenue</w:t>
        </w:r>
      </w:smartTag>
      <w:r w:rsidRPr="00D81B2D">
        <w:rPr>
          <w:rFonts w:ascii="Times New Roman" w:hAnsi="Times New Roman" w:cs="Times New Roman"/>
          <w:sz w:val="22"/>
          <w:szCs w:val="22"/>
        </w:rPr>
        <w:t xml:space="preserve"> </w:t>
      </w:r>
      <w:smartTag w:uri="urn:schemas-microsoft-com:office:smarttags" w:element="PlaceName">
        <w:r w:rsidRPr="00D81B2D">
          <w:rPr>
            <w:rFonts w:ascii="Times New Roman" w:hAnsi="Times New Roman" w:cs="Times New Roman"/>
            <w:sz w:val="22"/>
            <w:szCs w:val="22"/>
          </w:rPr>
          <w:t>Service</w:t>
        </w:r>
      </w:smartTag>
      <w:r w:rsidRPr="00D81B2D">
        <w:rPr>
          <w:rFonts w:ascii="Times New Roman" w:hAnsi="Times New Roman" w:cs="Times New Roman"/>
          <w:sz w:val="22"/>
          <w:szCs w:val="22"/>
        </w:rPr>
        <w:t xml:space="preserve"> </w:t>
      </w:r>
      <w:smartTag w:uri="urn:schemas-microsoft-com:office:smarttags" w:element="PlaceType">
        <w:r w:rsidRPr="00D81B2D">
          <w:rPr>
            <w:rFonts w:ascii="Times New Roman" w:hAnsi="Times New Roman" w:cs="Times New Roman"/>
            <w:sz w:val="22"/>
            <w:szCs w:val="22"/>
          </w:rPr>
          <w:t>Center</w:t>
        </w:r>
      </w:smartTag>
      <w:r w:rsidRPr="00D81B2D">
        <w:rPr>
          <w:rFonts w:ascii="Times New Roman" w:hAnsi="Times New Roman" w:cs="Times New Roman"/>
          <w:sz w:val="22"/>
          <w:szCs w:val="22"/>
        </w:rPr>
        <w:t xml:space="preserve"> in </w:t>
      </w:r>
      <w:smartTag w:uri="urn:schemas-microsoft-com:office:smarttags" w:element="place">
        <w:smartTag w:uri="urn:schemas-microsoft-com:office:smarttags" w:element="City">
          <w:r w:rsidRPr="00D81B2D">
            <w:rPr>
              <w:rFonts w:ascii="Times New Roman" w:hAnsi="Times New Roman" w:cs="Times New Roman"/>
              <w:sz w:val="22"/>
              <w:szCs w:val="22"/>
            </w:rPr>
            <w:t>Memphis</w:t>
          </w:r>
        </w:smartTag>
        <w:r w:rsidRPr="00D81B2D">
          <w:rPr>
            <w:rFonts w:ascii="Times New Roman" w:hAnsi="Times New Roman" w:cs="Times New Roman"/>
            <w:sz w:val="22"/>
            <w:szCs w:val="22"/>
          </w:rPr>
          <w:t xml:space="preserve">, </w:t>
        </w:r>
        <w:smartTag w:uri="urn:schemas-microsoft-com:office:smarttags" w:element="State">
          <w:r w:rsidRPr="00D81B2D">
            <w:rPr>
              <w:rFonts w:ascii="Times New Roman" w:hAnsi="Times New Roman" w:cs="Times New Roman"/>
              <w:sz w:val="22"/>
              <w:szCs w:val="22"/>
            </w:rPr>
            <w:t>Tennessee</w:t>
          </w:r>
        </w:smartTag>
      </w:smartTag>
      <w:r w:rsidRPr="00D81B2D">
        <w:rPr>
          <w:rFonts w:ascii="Times New Roman" w:hAnsi="Times New Roman" w:cs="Times New Roman"/>
          <w:sz w:val="22"/>
          <w:szCs w:val="22"/>
        </w:rPr>
        <w:t>. On February 10, 1993, respondent issued a notice of deficiency determining a deficiency in petitioner's 1988 Federal income tax and an addition to tax under section 6653(a)(1) in the amounts of $7,567 and $378, respectively. Petitioner timely filed a petition in this Court.</w:t>
      </w:r>
    </w:p>
    <w:p w:rsidR="002F509B" w:rsidRPr="00D81B2D" w:rsidRDefault="002F509B" w:rsidP="00D81B2D">
      <w:pPr>
        <w:pStyle w:val="NormalWeb"/>
        <w:spacing w:before="120" w:beforeAutospacing="0" w:after="0" w:afterAutospacing="0"/>
        <w:ind w:firstLine="240"/>
        <w:rPr>
          <w:rFonts w:ascii="Times New Roman" w:hAnsi="Times New Roman" w:cs="Times New Roman"/>
          <w:sz w:val="22"/>
          <w:szCs w:val="22"/>
        </w:rPr>
      </w:pPr>
      <w:r w:rsidRPr="00D81B2D">
        <w:rPr>
          <w:rFonts w:ascii="Times New Roman" w:hAnsi="Times New Roman" w:cs="Times New Roman"/>
          <w:sz w:val="22"/>
          <w:szCs w:val="22"/>
        </w:rPr>
        <w:t xml:space="preserve">Petitioner is a cash method taxpayer, wholly owned by Frank J. Leou, M.D. Petitioner was originally incorporated in 1978 under the provisions of subchapter C, but it subsequently elected, pursuant to </w:t>
      </w:r>
      <w:hyperlink r:id="rId8" w:history="1">
        <w:r w:rsidRPr="00D81B2D">
          <w:rPr>
            <w:rStyle w:val="Hyperlink"/>
            <w:rFonts w:ascii="Times New Roman" w:hAnsi="Times New Roman" w:cs="Times New Roman"/>
            <w:sz w:val="22"/>
            <w:szCs w:val="22"/>
          </w:rPr>
          <w:t xml:space="preserve">section 1362 </w:t>
        </w:r>
      </w:hyperlink>
      <w:r w:rsidRPr="00D81B2D">
        <w:rPr>
          <w:rFonts w:ascii="Times New Roman" w:hAnsi="Times New Roman" w:cs="Times New Roman"/>
          <w:sz w:val="22"/>
          <w:szCs w:val="22"/>
        </w:rPr>
        <w:t>, to become an S corporation effective January 1, 1988. As of December 31, 1987, petitioner had accounts receivable totaling $134,429. During 1988, $100,822 was collected on these accounts. Had petitioner not made the subchapter S election, it would have had taxable income of $22,255.</w:t>
      </w:r>
    </w:p>
    <w:p w:rsidR="002F509B" w:rsidRPr="00D81B2D" w:rsidRDefault="002F509B" w:rsidP="00D81B2D">
      <w:pPr>
        <w:pStyle w:val="NormalWeb"/>
        <w:spacing w:before="120" w:beforeAutospacing="0" w:after="0" w:afterAutospacing="0"/>
        <w:ind w:firstLine="240"/>
        <w:rPr>
          <w:rFonts w:ascii="Times New Roman" w:hAnsi="Times New Roman" w:cs="Times New Roman"/>
          <w:sz w:val="22"/>
          <w:szCs w:val="22"/>
        </w:rPr>
      </w:pPr>
      <w:r w:rsidRPr="00D81B2D">
        <w:rPr>
          <w:rFonts w:ascii="Times New Roman" w:hAnsi="Times New Roman" w:cs="Times New Roman"/>
          <w:sz w:val="22"/>
          <w:szCs w:val="22"/>
        </w:rPr>
        <w:t xml:space="preserve">Respondent determined that the accounts receivable collected during the year represented "net recognized built-in gain" (NRBIG) for purposes of </w:t>
      </w:r>
      <w:hyperlink r:id="rId9" w:history="1">
        <w:r w:rsidRPr="00D81B2D">
          <w:rPr>
            <w:rStyle w:val="Hyperlink"/>
            <w:rFonts w:ascii="Times New Roman" w:hAnsi="Times New Roman" w:cs="Times New Roman"/>
            <w:sz w:val="22"/>
            <w:szCs w:val="22"/>
          </w:rPr>
          <w:t xml:space="preserve">section 1374 </w:t>
        </w:r>
      </w:hyperlink>
      <w:r w:rsidRPr="00D81B2D">
        <w:rPr>
          <w:rFonts w:ascii="Times New Roman" w:hAnsi="Times New Roman" w:cs="Times New Roman"/>
          <w:sz w:val="22"/>
          <w:szCs w:val="22"/>
        </w:rPr>
        <w:t>. Petitioner disagrees with this characterization. The parties stipulated that if this Court finds the collected accounts receivable represent NRBIG the amount of tax due is $7,567 as determined by respondent, and petitioner is liable for an addition to tax for negligence pursuant to section 6653(a)(1) in the amount of $378.</w:t>
      </w:r>
    </w:p>
    <w:p w:rsidR="002F509B" w:rsidRPr="00D81B2D" w:rsidRDefault="002F509B" w:rsidP="00D81B2D">
      <w:pPr>
        <w:pStyle w:val="NormalWeb"/>
        <w:spacing w:before="120" w:beforeAutospacing="0" w:after="0" w:afterAutospacing="0"/>
        <w:ind w:firstLine="240"/>
        <w:rPr>
          <w:rFonts w:ascii="Times New Roman" w:hAnsi="Times New Roman" w:cs="Times New Roman"/>
          <w:sz w:val="22"/>
          <w:szCs w:val="22"/>
        </w:rPr>
      </w:pPr>
      <w:hyperlink r:id="rId10" w:history="1">
        <w:r w:rsidRPr="00D81B2D">
          <w:rPr>
            <w:rStyle w:val="Hyperlink"/>
            <w:rFonts w:ascii="Times New Roman" w:hAnsi="Times New Roman" w:cs="Times New Roman"/>
            <w:sz w:val="22"/>
            <w:szCs w:val="22"/>
          </w:rPr>
          <w:t xml:space="preserve">Section 1374 </w:t>
        </w:r>
      </w:hyperlink>
      <w:r w:rsidRPr="00D81B2D">
        <w:rPr>
          <w:rFonts w:ascii="Times New Roman" w:hAnsi="Times New Roman" w:cs="Times New Roman"/>
          <w:sz w:val="22"/>
          <w:szCs w:val="22"/>
        </w:rPr>
        <w:t xml:space="preserve">, as enacted in 1966, was designed to discourage subchapter C corporations from making "one shot" subchapter S elections to pass anticipated capital gains through to shareholders. A corporation could avoid the capital gains tax, and its shareholders would be taxed at capital gains rates rather than ordinary dividend rates, courtesy of subchapter S. The tax effect prior to </w:t>
      </w:r>
      <w:hyperlink r:id="rId11" w:history="1">
        <w:r w:rsidRPr="00D81B2D">
          <w:rPr>
            <w:rStyle w:val="Hyperlink"/>
            <w:rFonts w:ascii="Times New Roman" w:hAnsi="Times New Roman" w:cs="Times New Roman"/>
            <w:sz w:val="22"/>
            <w:szCs w:val="22"/>
          </w:rPr>
          <w:t xml:space="preserve">section 1374 </w:t>
        </w:r>
      </w:hyperlink>
      <w:r w:rsidRPr="00D81B2D">
        <w:rPr>
          <w:rFonts w:ascii="Times New Roman" w:hAnsi="Times New Roman" w:cs="Times New Roman"/>
          <w:sz w:val="22"/>
          <w:szCs w:val="22"/>
        </w:rPr>
        <w:t xml:space="preserve">was identical to that of a distribution of the corporation's assets in complete liquidation under former </w:t>
      </w:r>
      <w:hyperlink r:id="rId12" w:history="1">
        <w:r w:rsidRPr="00D81B2D">
          <w:rPr>
            <w:rStyle w:val="Hyperlink"/>
            <w:rFonts w:ascii="Times New Roman" w:hAnsi="Times New Roman" w:cs="Times New Roman"/>
            <w:sz w:val="22"/>
            <w:szCs w:val="22"/>
          </w:rPr>
          <w:t xml:space="preserve">section 337 </w:t>
        </w:r>
      </w:hyperlink>
      <w:r w:rsidRPr="00D81B2D">
        <w:rPr>
          <w:rFonts w:ascii="Times New Roman" w:hAnsi="Times New Roman" w:cs="Times New Roman"/>
          <w:sz w:val="22"/>
          <w:szCs w:val="22"/>
        </w:rPr>
        <w:t xml:space="preserve">; however, the assets remained in corporate solution. See S. Rept. 1007, 89th Cong., 2d Sess. 6 (1966), 1966-1 C.B. 527, 531. </w:t>
      </w:r>
      <w:hyperlink r:id="rId13" w:history="1">
        <w:r w:rsidRPr="00D81B2D">
          <w:rPr>
            <w:rStyle w:val="Hyperlink"/>
            <w:rFonts w:ascii="Times New Roman" w:hAnsi="Times New Roman" w:cs="Times New Roman"/>
            <w:sz w:val="22"/>
            <w:szCs w:val="22"/>
          </w:rPr>
          <w:t xml:space="preserve">Section 1374 </w:t>
        </w:r>
      </w:hyperlink>
      <w:r w:rsidRPr="00D81B2D">
        <w:rPr>
          <w:rFonts w:ascii="Times New Roman" w:hAnsi="Times New Roman" w:cs="Times New Roman"/>
          <w:sz w:val="22"/>
          <w:szCs w:val="22"/>
        </w:rPr>
        <w:t>imposed a corporate-level tax on certain capital gains to reflect this unrealized appreciation.</w:t>
      </w:r>
    </w:p>
    <w:p w:rsidR="002F509B" w:rsidRPr="00D81B2D" w:rsidRDefault="002F509B" w:rsidP="00D81B2D">
      <w:pPr>
        <w:pStyle w:val="NormalWeb"/>
        <w:spacing w:before="120" w:beforeAutospacing="0" w:after="0" w:afterAutospacing="0"/>
        <w:ind w:firstLine="240"/>
        <w:rPr>
          <w:rFonts w:ascii="Times New Roman" w:hAnsi="Times New Roman" w:cs="Times New Roman"/>
          <w:sz w:val="22"/>
          <w:szCs w:val="22"/>
        </w:rPr>
      </w:pPr>
      <w:r w:rsidRPr="00D81B2D">
        <w:rPr>
          <w:rFonts w:ascii="Times New Roman" w:hAnsi="Times New Roman" w:cs="Times New Roman"/>
          <w:sz w:val="22"/>
          <w:szCs w:val="22"/>
        </w:rPr>
        <w:t xml:space="preserve">The Tax Reform Act of 1986 (TRA), Pub. L. 99-514, 100 Stat. 2085, included a concerted effort to repeal the doctrine of </w:t>
      </w:r>
      <w:r w:rsidRPr="00D81B2D">
        <w:rPr>
          <w:rFonts w:ascii="Times New Roman" w:hAnsi="Times New Roman" w:cs="Times New Roman"/>
          <w:i/>
          <w:iCs/>
          <w:sz w:val="22"/>
          <w:szCs w:val="22"/>
        </w:rPr>
        <w:t>General Utils. and Operating Co. v. Helvering</w:t>
      </w:r>
      <w:r w:rsidRPr="00D81B2D">
        <w:rPr>
          <w:rFonts w:ascii="Times New Roman" w:hAnsi="Times New Roman" w:cs="Times New Roman"/>
          <w:sz w:val="22"/>
          <w:szCs w:val="22"/>
        </w:rPr>
        <w:t xml:space="preserve"> [</w:t>
      </w:r>
      <w:hyperlink r:id="rId14" w:history="1">
        <w:r w:rsidRPr="00D81B2D">
          <w:rPr>
            <w:rStyle w:val="Hyperlink"/>
            <w:rFonts w:ascii="Times New Roman" w:hAnsi="Times New Roman" w:cs="Times New Roman"/>
            <w:sz w:val="22"/>
            <w:szCs w:val="22"/>
          </w:rPr>
          <w:t xml:space="preserve">36-1 USTC ¶9012 </w:t>
        </w:r>
      </w:hyperlink>
      <w:r w:rsidRPr="00D81B2D">
        <w:rPr>
          <w:rFonts w:ascii="Times New Roman" w:hAnsi="Times New Roman" w:cs="Times New Roman"/>
          <w:sz w:val="22"/>
          <w:szCs w:val="22"/>
        </w:rPr>
        <w:t xml:space="preserve">], 296 U.S. 200 (1935), which permitted corporations to distribute appreciated property to its shareholders without recognizing gain. Cf. </w:t>
      </w:r>
      <w:r w:rsidRPr="00D81B2D">
        <w:rPr>
          <w:rFonts w:ascii="Times New Roman" w:hAnsi="Times New Roman" w:cs="Times New Roman"/>
          <w:i/>
          <w:iCs/>
          <w:sz w:val="22"/>
          <w:szCs w:val="22"/>
        </w:rPr>
        <w:t>General Utils. and Operating Co. v. Helvering, supra;</w:t>
      </w:r>
      <w:r w:rsidRPr="00D81B2D">
        <w:rPr>
          <w:rFonts w:ascii="Times New Roman" w:hAnsi="Times New Roman" w:cs="Times New Roman"/>
          <w:sz w:val="22"/>
          <w:szCs w:val="22"/>
        </w:rPr>
        <w:t xml:space="preserve"> H. Rept. 99-426, 1986-3 C.B. (Vol. 2) 1, 274. Congress felt that </w:t>
      </w:r>
      <w:r w:rsidRPr="00D81B2D">
        <w:rPr>
          <w:rFonts w:ascii="Times New Roman" w:hAnsi="Times New Roman" w:cs="Times New Roman"/>
          <w:i/>
          <w:iCs/>
          <w:sz w:val="22"/>
          <w:szCs w:val="22"/>
        </w:rPr>
        <w:t>General Utils.</w:t>
      </w:r>
      <w:r w:rsidRPr="00D81B2D">
        <w:rPr>
          <w:rFonts w:ascii="Times New Roman" w:hAnsi="Times New Roman" w:cs="Times New Roman"/>
          <w:sz w:val="22"/>
          <w:szCs w:val="22"/>
        </w:rPr>
        <w:t xml:space="preserve"> created an unwarranted exception to the two-level </w:t>
      </w:r>
      <w:r w:rsidRPr="00D81B2D">
        <w:rPr>
          <w:rFonts w:ascii="Times New Roman" w:hAnsi="Times New Roman" w:cs="Times New Roman"/>
          <w:sz w:val="22"/>
          <w:szCs w:val="22"/>
        </w:rPr>
        <w:lastRenderedPageBreak/>
        <w:t xml:space="preserve">taxation of corporate gain. H. Rept. 99-426, </w:t>
      </w:r>
      <w:r w:rsidRPr="00D81B2D">
        <w:rPr>
          <w:rFonts w:ascii="Times New Roman" w:hAnsi="Times New Roman" w:cs="Times New Roman"/>
          <w:i/>
          <w:iCs/>
          <w:sz w:val="22"/>
          <w:szCs w:val="22"/>
        </w:rPr>
        <w:t>supra</w:t>
      </w:r>
      <w:r w:rsidRPr="00D81B2D">
        <w:rPr>
          <w:rFonts w:ascii="Times New Roman" w:hAnsi="Times New Roman" w:cs="Times New Roman"/>
          <w:sz w:val="22"/>
          <w:szCs w:val="22"/>
        </w:rPr>
        <w:t xml:space="preserve">, 1986-3 C.B. (Vol. 2) at 274. As part of this effort, Congress expanded </w:t>
      </w:r>
      <w:hyperlink r:id="rId15" w:history="1">
        <w:r w:rsidRPr="00D81B2D">
          <w:rPr>
            <w:rStyle w:val="Hyperlink"/>
            <w:rFonts w:ascii="Times New Roman" w:hAnsi="Times New Roman" w:cs="Times New Roman"/>
            <w:sz w:val="22"/>
            <w:szCs w:val="22"/>
          </w:rPr>
          <w:t xml:space="preserve">section 1374 </w:t>
        </w:r>
      </w:hyperlink>
      <w:r w:rsidRPr="00D81B2D">
        <w:rPr>
          <w:rFonts w:ascii="Times New Roman" w:hAnsi="Times New Roman" w:cs="Times New Roman"/>
          <w:sz w:val="22"/>
          <w:szCs w:val="22"/>
        </w:rPr>
        <w:t xml:space="preserve">, making it applicable to </w:t>
      </w:r>
      <w:r w:rsidRPr="00D81B2D">
        <w:rPr>
          <w:rFonts w:ascii="Times New Roman" w:hAnsi="Times New Roman" w:cs="Times New Roman"/>
          <w:i/>
          <w:iCs/>
          <w:sz w:val="22"/>
          <w:szCs w:val="22"/>
        </w:rPr>
        <w:t>all</w:t>
      </w:r>
      <w:r w:rsidRPr="00D81B2D">
        <w:rPr>
          <w:rFonts w:ascii="Times New Roman" w:hAnsi="Times New Roman" w:cs="Times New Roman"/>
          <w:sz w:val="22"/>
          <w:szCs w:val="22"/>
        </w:rPr>
        <w:t xml:space="preserve"> built-in gain, not just capital gain, recognized on the "disposition of any asset" within the 10-year "recognition period" following the conversion. Former </w:t>
      </w:r>
      <w:hyperlink r:id="rId16" w:history="1">
        <w:r w:rsidRPr="00D81B2D">
          <w:rPr>
            <w:rStyle w:val="Hyperlink"/>
            <w:rFonts w:ascii="Times New Roman" w:hAnsi="Times New Roman" w:cs="Times New Roman"/>
            <w:sz w:val="22"/>
            <w:szCs w:val="22"/>
          </w:rPr>
          <w:t xml:space="preserve">sec. 1374(d)(2) </w:t>
        </w:r>
      </w:hyperlink>
      <w:r w:rsidRPr="00D81B2D">
        <w:rPr>
          <w:rFonts w:ascii="Times New Roman" w:hAnsi="Times New Roman" w:cs="Times New Roman"/>
          <w:sz w:val="22"/>
          <w:szCs w:val="22"/>
        </w:rPr>
        <w:t>; see also H. Conf. Rept. 99-841 (1986), 1986-3 C.B. (Vol. 4) 1, 203.</w:t>
      </w:r>
    </w:p>
    <w:p w:rsidR="002F509B" w:rsidRPr="00D81B2D" w:rsidRDefault="002F509B" w:rsidP="00D81B2D">
      <w:pPr>
        <w:pStyle w:val="NormalWeb"/>
        <w:spacing w:before="120" w:beforeAutospacing="0" w:after="0" w:afterAutospacing="0"/>
        <w:ind w:firstLine="240"/>
        <w:rPr>
          <w:rFonts w:ascii="Times New Roman" w:hAnsi="Times New Roman" w:cs="Times New Roman"/>
          <w:sz w:val="22"/>
          <w:szCs w:val="22"/>
        </w:rPr>
      </w:pPr>
      <w:r w:rsidRPr="00D81B2D">
        <w:rPr>
          <w:rFonts w:ascii="Times New Roman" w:hAnsi="Times New Roman" w:cs="Times New Roman"/>
          <w:sz w:val="22"/>
          <w:szCs w:val="22"/>
        </w:rPr>
        <w:t xml:space="preserve">Following enactment of TRA, respondent announced that it would issue regulations defining "disposition of any asset" as including "other income-recognition events that effectively dispose of or relinquish the taxpayer's right to claim or receive income." </w:t>
      </w:r>
      <w:hyperlink r:id="rId17" w:history="1">
        <w:r w:rsidRPr="00D81B2D">
          <w:rPr>
            <w:rStyle w:val="Hyperlink"/>
            <w:rFonts w:ascii="Times New Roman" w:hAnsi="Times New Roman" w:cs="Times New Roman"/>
            <w:sz w:val="22"/>
            <w:szCs w:val="22"/>
          </w:rPr>
          <w:t xml:space="preserve">Ann. 86-128 </w:t>
        </w:r>
      </w:hyperlink>
      <w:r w:rsidRPr="00D81B2D">
        <w:rPr>
          <w:rFonts w:ascii="Times New Roman" w:hAnsi="Times New Roman" w:cs="Times New Roman"/>
          <w:sz w:val="22"/>
          <w:szCs w:val="22"/>
        </w:rPr>
        <w:t xml:space="preserve">, IR-51-128 (Dec. 22, 1986). Respondent used as an illustration "the collection of accounts receivable by a cash method taxpayer". </w:t>
      </w:r>
      <w:smartTag w:uri="urn:schemas-microsoft-com:office:smarttags" w:element="State">
        <w:smartTag w:uri="urn:schemas-microsoft-com:office:smarttags" w:element="place">
          <w:r w:rsidRPr="00D81B2D">
            <w:rPr>
              <w:rFonts w:ascii="Times New Roman" w:hAnsi="Times New Roman" w:cs="Times New Roman"/>
              <w:i/>
              <w:iCs/>
              <w:sz w:val="22"/>
              <w:szCs w:val="22"/>
            </w:rPr>
            <w:t>Id.</w:t>
          </w:r>
        </w:smartTag>
      </w:smartTag>
      <w:r w:rsidRPr="00D81B2D">
        <w:rPr>
          <w:rFonts w:ascii="Times New Roman" w:hAnsi="Times New Roman" w:cs="Times New Roman"/>
          <w:sz w:val="22"/>
          <w:szCs w:val="22"/>
        </w:rPr>
        <w:t xml:space="preserve"> The regulations were not promulgated, as Congress chose to incorporate this idea into the statute by amendment.</w:t>
      </w:r>
    </w:p>
    <w:p w:rsidR="002F509B" w:rsidRPr="00D81B2D" w:rsidRDefault="002F509B" w:rsidP="00D81B2D">
      <w:pPr>
        <w:pStyle w:val="NormalWeb"/>
        <w:spacing w:before="120" w:beforeAutospacing="0" w:after="0" w:afterAutospacing="0"/>
        <w:ind w:firstLine="240"/>
        <w:rPr>
          <w:rFonts w:ascii="Times New Roman" w:hAnsi="Times New Roman" w:cs="Times New Roman"/>
          <w:sz w:val="22"/>
          <w:szCs w:val="22"/>
        </w:rPr>
      </w:pPr>
      <w:r w:rsidRPr="00D81B2D">
        <w:rPr>
          <w:rFonts w:ascii="Times New Roman" w:hAnsi="Times New Roman" w:cs="Times New Roman"/>
          <w:sz w:val="22"/>
          <w:szCs w:val="22"/>
        </w:rPr>
        <w:t xml:space="preserve">The Technical and Miscellaneous Revenue Act of 1988 (TAMRA), Pub. L. 100-647, 102 Stat. 3342, 3403-3407, modified </w:t>
      </w:r>
      <w:hyperlink r:id="rId18" w:history="1">
        <w:r w:rsidRPr="00D81B2D">
          <w:rPr>
            <w:rStyle w:val="Hyperlink"/>
            <w:rFonts w:ascii="Times New Roman" w:hAnsi="Times New Roman" w:cs="Times New Roman"/>
            <w:sz w:val="22"/>
            <w:szCs w:val="22"/>
          </w:rPr>
          <w:t xml:space="preserve">section 1374 </w:t>
        </w:r>
      </w:hyperlink>
      <w:r w:rsidRPr="00D81B2D">
        <w:rPr>
          <w:rFonts w:ascii="Times New Roman" w:hAnsi="Times New Roman" w:cs="Times New Roman"/>
          <w:sz w:val="22"/>
          <w:szCs w:val="22"/>
        </w:rPr>
        <w:t xml:space="preserve">. </w:t>
      </w:r>
      <w:hyperlink r:id="rId19" w:history="1">
        <w:r w:rsidRPr="00D81B2D">
          <w:rPr>
            <w:rStyle w:val="Hyperlink"/>
            <w:rFonts w:ascii="Times New Roman" w:hAnsi="Times New Roman" w:cs="Times New Roman"/>
            <w:sz w:val="22"/>
            <w:szCs w:val="22"/>
          </w:rPr>
          <w:t xml:space="preserve">Section 1374 </w:t>
        </w:r>
      </w:hyperlink>
      <w:r w:rsidRPr="00D81B2D">
        <w:rPr>
          <w:rFonts w:ascii="Times New Roman" w:hAnsi="Times New Roman" w:cs="Times New Roman"/>
          <w:sz w:val="22"/>
          <w:szCs w:val="22"/>
        </w:rPr>
        <w:t xml:space="preserve">, as amended, taxes an S corporation on its NRBIG, the net gain attributable to its prior existence under subchapter C which is recognized during the recognition period. </w:t>
      </w:r>
      <w:hyperlink r:id="rId20" w:history="1">
        <w:r w:rsidRPr="00D81B2D">
          <w:rPr>
            <w:rStyle w:val="Hyperlink"/>
            <w:rFonts w:ascii="Times New Roman" w:hAnsi="Times New Roman" w:cs="Times New Roman"/>
            <w:sz w:val="22"/>
            <w:szCs w:val="22"/>
          </w:rPr>
          <w:t xml:space="preserve">Sec. 1374(a) </w:t>
        </w:r>
      </w:hyperlink>
      <w:r w:rsidRPr="00D81B2D">
        <w:rPr>
          <w:rFonts w:ascii="Times New Roman" w:hAnsi="Times New Roman" w:cs="Times New Roman"/>
          <w:sz w:val="22"/>
          <w:szCs w:val="22"/>
        </w:rPr>
        <w:t xml:space="preserve">, </w:t>
      </w:r>
      <w:hyperlink r:id="rId21" w:history="1">
        <w:r w:rsidRPr="00D81B2D">
          <w:rPr>
            <w:rStyle w:val="Hyperlink"/>
            <w:rFonts w:ascii="Times New Roman" w:hAnsi="Times New Roman" w:cs="Times New Roman"/>
            <w:sz w:val="22"/>
            <w:szCs w:val="22"/>
          </w:rPr>
          <w:t xml:space="preserve">(d)(2) </w:t>
        </w:r>
      </w:hyperlink>
      <w:r w:rsidRPr="00D81B2D">
        <w:rPr>
          <w:rFonts w:ascii="Times New Roman" w:hAnsi="Times New Roman" w:cs="Times New Roman"/>
          <w:sz w:val="22"/>
          <w:szCs w:val="22"/>
        </w:rPr>
        <w:t xml:space="preserve">, </w:t>
      </w:r>
      <w:hyperlink r:id="rId22" w:history="1">
        <w:r w:rsidRPr="00D81B2D">
          <w:rPr>
            <w:rStyle w:val="Hyperlink"/>
            <w:rFonts w:ascii="Times New Roman" w:hAnsi="Times New Roman" w:cs="Times New Roman"/>
            <w:sz w:val="22"/>
            <w:szCs w:val="22"/>
          </w:rPr>
          <w:t xml:space="preserve">(3) </w:t>
        </w:r>
      </w:hyperlink>
      <w:r w:rsidRPr="00D81B2D">
        <w:rPr>
          <w:rFonts w:ascii="Times New Roman" w:hAnsi="Times New Roman" w:cs="Times New Roman"/>
          <w:sz w:val="22"/>
          <w:szCs w:val="22"/>
        </w:rPr>
        <w:t xml:space="preserve">. The tax is calculated by applying the highest rate of corporate tax to the NRBIG. </w:t>
      </w:r>
      <w:hyperlink r:id="rId23" w:history="1">
        <w:r w:rsidRPr="00D81B2D">
          <w:rPr>
            <w:rStyle w:val="Hyperlink"/>
            <w:rFonts w:ascii="Times New Roman" w:hAnsi="Times New Roman" w:cs="Times New Roman"/>
            <w:sz w:val="22"/>
            <w:szCs w:val="22"/>
          </w:rPr>
          <w:t xml:space="preserve">Sec. 1374(b)(1) </w:t>
        </w:r>
      </w:hyperlink>
      <w:r w:rsidRPr="00D81B2D">
        <w:rPr>
          <w:rFonts w:ascii="Times New Roman" w:hAnsi="Times New Roman" w:cs="Times New Roman"/>
          <w:sz w:val="22"/>
          <w:szCs w:val="22"/>
        </w:rPr>
        <w:t>.</w:t>
      </w:r>
    </w:p>
    <w:p w:rsidR="002F509B" w:rsidRPr="00D81B2D" w:rsidRDefault="002F509B" w:rsidP="00D81B2D">
      <w:pPr>
        <w:pStyle w:val="NormalWeb"/>
        <w:spacing w:before="120" w:beforeAutospacing="0" w:after="0" w:afterAutospacing="0"/>
        <w:ind w:firstLine="240"/>
        <w:rPr>
          <w:rFonts w:ascii="Times New Roman" w:hAnsi="Times New Roman" w:cs="Times New Roman"/>
          <w:sz w:val="22"/>
          <w:szCs w:val="22"/>
        </w:rPr>
      </w:pPr>
      <w:r w:rsidRPr="00D81B2D">
        <w:rPr>
          <w:rFonts w:ascii="Times New Roman" w:hAnsi="Times New Roman" w:cs="Times New Roman"/>
          <w:sz w:val="22"/>
          <w:szCs w:val="22"/>
        </w:rPr>
        <w:t xml:space="preserve">TAMRA also added subsection (d)(5)(A) to </w:t>
      </w:r>
      <w:hyperlink r:id="rId24" w:history="1">
        <w:r w:rsidRPr="00D81B2D">
          <w:rPr>
            <w:rStyle w:val="Hyperlink"/>
            <w:rFonts w:ascii="Times New Roman" w:hAnsi="Times New Roman" w:cs="Times New Roman"/>
            <w:sz w:val="22"/>
            <w:szCs w:val="22"/>
          </w:rPr>
          <w:t xml:space="preserve">section 1374 </w:t>
        </w:r>
      </w:hyperlink>
      <w:r w:rsidRPr="00D81B2D">
        <w:rPr>
          <w:rFonts w:ascii="Times New Roman" w:hAnsi="Times New Roman" w:cs="Times New Roman"/>
          <w:sz w:val="22"/>
          <w:szCs w:val="22"/>
        </w:rPr>
        <w:t>:</w:t>
      </w:r>
    </w:p>
    <w:p w:rsidR="002F509B" w:rsidRPr="00D81B2D" w:rsidRDefault="002F509B" w:rsidP="00D81B2D">
      <w:pPr>
        <w:pStyle w:val="NormalWeb"/>
        <w:spacing w:before="120" w:beforeAutospacing="0" w:after="0" w:afterAutospacing="0"/>
        <w:ind w:firstLine="240"/>
        <w:rPr>
          <w:rFonts w:ascii="Times New Roman" w:hAnsi="Times New Roman" w:cs="Times New Roman"/>
          <w:sz w:val="22"/>
          <w:szCs w:val="22"/>
        </w:rPr>
      </w:pPr>
      <w:r w:rsidRPr="00D81B2D">
        <w:rPr>
          <w:rFonts w:ascii="Times New Roman" w:hAnsi="Times New Roman" w:cs="Times New Roman"/>
          <w:sz w:val="22"/>
          <w:szCs w:val="22"/>
        </w:rPr>
        <w:t>(d) Definitions and Special Rules.--For purposes of this section--</w:t>
      </w:r>
    </w:p>
    <w:p w:rsidR="002F509B" w:rsidRPr="00D81B2D" w:rsidRDefault="002F509B" w:rsidP="00D81B2D">
      <w:pPr>
        <w:spacing w:before="120"/>
        <w:rPr>
          <w:color w:val="000000"/>
          <w:sz w:val="22"/>
          <w:szCs w:val="22"/>
        </w:rPr>
      </w:pPr>
      <w:r w:rsidRPr="00D81B2D">
        <w:rPr>
          <w:color w:val="000000"/>
          <w:sz w:val="22"/>
          <w:szCs w:val="22"/>
        </w:rPr>
        <w:t>* * *</w:t>
      </w:r>
    </w:p>
    <w:p w:rsidR="002F509B" w:rsidRPr="00D81B2D" w:rsidRDefault="002F509B" w:rsidP="00D81B2D">
      <w:pPr>
        <w:pStyle w:val="NormalWeb"/>
        <w:spacing w:before="120" w:beforeAutospacing="0" w:after="0" w:afterAutospacing="0"/>
        <w:ind w:left="240" w:firstLine="240"/>
        <w:rPr>
          <w:rFonts w:ascii="Times New Roman" w:hAnsi="Times New Roman" w:cs="Times New Roman"/>
          <w:sz w:val="22"/>
          <w:szCs w:val="22"/>
        </w:rPr>
      </w:pPr>
      <w:r w:rsidRPr="00D81B2D">
        <w:rPr>
          <w:rFonts w:ascii="Times New Roman" w:hAnsi="Times New Roman" w:cs="Times New Roman"/>
          <w:sz w:val="22"/>
          <w:szCs w:val="22"/>
        </w:rPr>
        <w:t>(5) Treatment of Certain Built-In Items.--</w:t>
      </w:r>
    </w:p>
    <w:p w:rsidR="002F509B" w:rsidRPr="00D81B2D" w:rsidRDefault="002F509B" w:rsidP="00D81B2D">
      <w:pPr>
        <w:pStyle w:val="NormalWeb"/>
        <w:spacing w:before="120" w:beforeAutospacing="0" w:after="0" w:afterAutospacing="0"/>
        <w:ind w:left="240" w:firstLine="240"/>
        <w:rPr>
          <w:rFonts w:ascii="Times New Roman" w:hAnsi="Times New Roman" w:cs="Times New Roman"/>
          <w:sz w:val="22"/>
          <w:szCs w:val="22"/>
        </w:rPr>
      </w:pPr>
      <w:r w:rsidRPr="00D81B2D">
        <w:rPr>
          <w:rFonts w:ascii="Times New Roman" w:hAnsi="Times New Roman" w:cs="Times New Roman"/>
          <w:sz w:val="22"/>
          <w:szCs w:val="22"/>
        </w:rPr>
        <w:t>(A) Income Items.--Any item of income which is properly taken into account during the recognition period but which is attributable to periods before the 1st taxable year for which the corporation was an S corporation shall be treated as a recognized built-in gain for the taxable year in which it is properly taken into account.</w:t>
      </w:r>
    </w:p>
    <w:p w:rsidR="002F509B" w:rsidRPr="00D81B2D" w:rsidRDefault="002F509B" w:rsidP="00D81B2D">
      <w:pPr>
        <w:spacing w:before="120"/>
        <w:rPr>
          <w:color w:val="000000"/>
          <w:sz w:val="22"/>
          <w:szCs w:val="22"/>
        </w:rPr>
      </w:pPr>
      <w:r w:rsidRPr="00D81B2D">
        <w:rPr>
          <w:color w:val="000000"/>
          <w:sz w:val="22"/>
          <w:szCs w:val="22"/>
        </w:rPr>
        <w:t xml:space="preserve">The TAMRA amendment is effective retroactively to January 1, 1987, TRA's effective date. TAMRA, </w:t>
      </w:r>
      <w:r w:rsidRPr="00D81B2D">
        <w:rPr>
          <w:i/>
          <w:iCs/>
          <w:color w:val="000000"/>
          <w:sz w:val="22"/>
          <w:szCs w:val="22"/>
        </w:rPr>
        <w:t>supra</w:t>
      </w:r>
      <w:r w:rsidRPr="00D81B2D">
        <w:rPr>
          <w:color w:val="000000"/>
          <w:sz w:val="22"/>
          <w:szCs w:val="22"/>
        </w:rPr>
        <w:t xml:space="preserve">, </w:t>
      </w:r>
      <w:hyperlink r:id="rId25" w:history="1">
        <w:r w:rsidRPr="00D81B2D">
          <w:rPr>
            <w:rStyle w:val="Hyperlink"/>
            <w:rFonts w:ascii="Times New Roman" w:hAnsi="Times New Roman" w:cs="Times New Roman"/>
            <w:sz w:val="22"/>
            <w:szCs w:val="22"/>
          </w:rPr>
          <w:t xml:space="preserve">sec. 1019(a) </w:t>
        </w:r>
      </w:hyperlink>
      <w:r w:rsidRPr="00D81B2D">
        <w:rPr>
          <w:color w:val="000000"/>
          <w:sz w:val="22"/>
          <w:szCs w:val="22"/>
        </w:rPr>
        <w:t xml:space="preserve">, 102 Stat. 3593. The legislative history of TAMRA follows the language of </w:t>
      </w:r>
      <w:hyperlink r:id="rId26" w:history="1">
        <w:r w:rsidRPr="00D81B2D">
          <w:rPr>
            <w:rStyle w:val="Hyperlink"/>
            <w:rFonts w:ascii="Times New Roman" w:hAnsi="Times New Roman" w:cs="Times New Roman"/>
            <w:sz w:val="22"/>
            <w:szCs w:val="22"/>
          </w:rPr>
          <w:t xml:space="preserve">Ann. 86-128 </w:t>
        </w:r>
      </w:hyperlink>
      <w:r w:rsidRPr="00D81B2D">
        <w:rPr>
          <w:color w:val="000000"/>
          <w:sz w:val="22"/>
          <w:szCs w:val="22"/>
        </w:rPr>
        <w:t xml:space="preserve">, </w:t>
      </w:r>
      <w:r w:rsidRPr="00D81B2D">
        <w:rPr>
          <w:i/>
          <w:iCs/>
          <w:color w:val="000000"/>
          <w:sz w:val="22"/>
          <w:szCs w:val="22"/>
        </w:rPr>
        <w:t>supra</w:t>
      </w:r>
      <w:r w:rsidRPr="00D81B2D">
        <w:rPr>
          <w:color w:val="000000"/>
          <w:sz w:val="22"/>
          <w:szCs w:val="22"/>
        </w:rPr>
        <w:t xml:space="preserve">, specifically contemplating the application of </w:t>
      </w:r>
      <w:hyperlink r:id="rId27" w:history="1">
        <w:r w:rsidRPr="00D81B2D">
          <w:rPr>
            <w:rStyle w:val="Hyperlink"/>
            <w:rFonts w:ascii="Times New Roman" w:hAnsi="Times New Roman" w:cs="Times New Roman"/>
            <w:sz w:val="22"/>
            <w:szCs w:val="22"/>
          </w:rPr>
          <w:t xml:space="preserve">section 1374 </w:t>
        </w:r>
      </w:hyperlink>
      <w:r w:rsidRPr="00D81B2D">
        <w:rPr>
          <w:color w:val="000000"/>
          <w:sz w:val="22"/>
          <w:szCs w:val="22"/>
        </w:rPr>
        <w:t xml:space="preserve">to "the collection of accounts receivable by a cash method taxpayer". H. Rept. 100-795, at 63 (1988); S. Rept. 100-445, at 65 (1988); see also </w:t>
      </w:r>
      <w:hyperlink r:id="rId28" w:history="1">
        <w:r w:rsidRPr="00D81B2D">
          <w:rPr>
            <w:rStyle w:val="Hyperlink"/>
            <w:rFonts w:ascii="Times New Roman" w:hAnsi="Times New Roman" w:cs="Times New Roman"/>
            <w:sz w:val="22"/>
            <w:szCs w:val="22"/>
          </w:rPr>
          <w:t xml:space="preserve">sec. 1.1374-4(b)(1) </w:t>
        </w:r>
      </w:hyperlink>
      <w:r w:rsidRPr="00D81B2D">
        <w:rPr>
          <w:color w:val="000000"/>
          <w:sz w:val="22"/>
          <w:szCs w:val="22"/>
        </w:rPr>
        <w:t xml:space="preserve">, Proposed Income Tax Regs., 57 Fed. </w:t>
      </w:r>
      <w:smartTag w:uri="urn:schemas-microsoft-com:office:smarttags" w:element="place">
        <w:smartTag w:uri="urn:schemas-microsoft-com:office:smarttags" w:element="City">
          <w:r w:rsidRPr="00D81B2D">
            <w:rPr>
              <w:color w:val="000000"/>
              <w:sz w:val="22"/>
              <w:szCs w:val="22"/>
            </w:rPr>
            <w:t>Reg.</w:t>
          </w:r>
        </w:smartTag>
        <w:r w:rsidRPr="00D81B2D">
          <w:rPr>
            <w:color w:val="000000"/>
            <w:sz w:val="22"/>
            <w:szCs w:val="22"/>
          </w:rPr>
          <w:t xml:space="preserve"> </w:t>
        </w:r>
        <w:smartTag w:uri="urn:schemas-microsoft-com:office:smarttags" w:element="PostalCode">
          <w:r w:rsidRPr="00D81B2D">
            <w:rPr>
              <w:color w:val="000000"/>
              <w:sz w:val="22"/>
              <w:szCs w:val="22"/>
            </w:rPr>
            <w:t>57971</w:t>
          </w:r>
        </w:smartTag>
        <w:r w:rsidRPr="00D81B2D">
          <w:rPr>
            <w:color w:val="000000"/>
            <w:sz w:val="22"/>
            <w:szCs w:val="22"/>
          </w:rPr>
          <w:t xml:space="preserve">, </w:t>
        </w:r>
        <w:smartTag w:uri="urn:schemas-microsoft-com:office:smarttags" w:element="PostalCode">
          <w:r w:rsidRPr="00D81B2D">
            <w:rPr>
              <w:color w:val="000000"/>
              <w:sz w:val="22"/>
              <w:szCs w:val="22"/>
            </w:rPr>
            <w:t>57975</w:t>
          </w:r>
        </w:smartTag>
      </w:smartTag>
      <w:r w:rsidRPr="00D81B2D">
        <w:rPr>
          <w:color w:val="000000"/>
          <w:sz w:val="22"/>
          <w:szCs w:val="22"/>
        </w:rPr>
        <w:t xml:space="preserve"> (Dec. 8, 1992) (NRBIG includes items of income that "would have been included in gross income before the beginning of the recognition period by a taxpayer using an accrual method").</w:t>
      </w:r>
    </w:p>
    <w:p w:rsidR="002F509B" w:rsidRPr="00D81B2D" w:rsidRDefault="002F509B" w:rsidP="00D81B2D">
      <w:pPr>
        <w:pStyle w:val="NormalWeb"/>
        <w:spacing w:before="120" w:beforeAutospacing="0" w:after="0" w:afterAutospacing="0"/>
        <w:ind w:firstLine="240"/>
        <w:rPr>
          <w:rFonts w:ascii="Times New Roman" w:hAnsi="Times New Roman" w:cs="Times New Roman"/>
          <w:sz w:val="22"/>
          <w:szCs w:val="22"/>
        </w:rPr>
      </w:pPr>
      <w:r w:rsidRPr="00D81B2D">
        <w:rPr>
          <w:rFonts w:ascii="Times New Roman" w:hAnsi="Times New Roman" w:cs="Times New Roman"/>
          <w:sz w:val="22"/>
          <w:szCs w:val="22"/>
        </w:rPr>
        <w:t xml:space="preserve">As we see it, Congress extended </w:t>
      </w:r>
      <w:hyperlink r:id="rId29" w:history="1">
        <w:r w:rsidRPr="00D81B2D">
          <w:rPr>
            <w:rStyle w:val="Hyperlink"/>
            <w:rFonts w:ascii="Times New Roman" w:hAnsi="Times New Roman" w:cs="Times New Roman"/>
            <w:sz w:val="22"/>
            <w:szCs w:val="22"/>
          </w:rPr>
          <w:t xml:space="preserve">section 1374 </w:t>
        </w:r>
      </w:hyperlink>
      <w:r w:rsidRPr="00D81B2D">
        <w:rPr>
          <w:rFonts w:ascii="Times New Roman" w:hAnsi="Times New Roman" w:cs="Times New Roman"/>
          <w:sz w:val="22"/>
          <w:szCs w:val="22"/>
        </w:rPr>
        <w:t xml:space="preserve">to prevent corporations from invoking subchapter S to eliminate the corporate tax on unrealized income at the time of the conversion. Petitioner has apparently overlooked </w:t>
      </w:r>
      <w:hyperlink r:id="rId30" w:history="1">
        <w:r w:rsidRPr="00D81B2D">
          <w:rPr>
            <w:rStyle w:val="Hyperlink"/>
            <w:rFonts w:ascii="Times New Roman" w:hAnsi="Times New Roman" w:cs="Times New Roman"/>
            <w:sz w:val="22"/>
            <w:szCs w:val="22"/>
          </w:rPr>
          <w:t xml:space="preserve">section 1374(d)(5)(A) </w:t>
        </w:r>
      </w:hyperlink>
      <w:r w:rsidRPr="00D81B2D">
        <w:rPr>
          <w:rFonts w:ascii="Times New Roman" w:hAnsi="Times New Roman" w:cs="Times New Roman"/>
          <w:sz w:val="22"/>
          <w:szCs w:val="22"/>
        </w:rPr>
        <w:t xml:space="preserve">in maintaining that its receipt of payments on accounts receivable is not a disposition of a "built-in gain" item. While petitioner's position may have had some merit prior to the TRA and TAMRA amendments, it did not survive those legislative changes. It is clear to us that petitioner's collection of the accounts receivable falls within the scope of </w:t>
      </w:r>
      <w:hyperlink r:id="rId31" w:history="1">
        <w:r w:rsidRPr="00D81B2D">
          <w:rPr>
            <w:rStyle w:val="Hyperlink"/>
            <w:rFonts w:ascii="Times New Roman" w:hAnsi="Times New Roman" w:cs="Times New Roman"/>
            <w:sz w:val="22"/>
            <w:szCs w:val="22"/>
          </w:rPr>
          <w:t xml:space="preserve">section 1374 </w:t>
        </w:r>
      </w:hyperlink>
      <w:r w:rsidRPr="00D81B2D">
        <w:rPr>
          <w:rFonts w:ascii="Times New Roman" w:hAnsi="Times New Roman" w:cs="Times New Roman"/>
          <w:sz w:val="22"/>
          <w:szCs w:val="22"/>
        </w:rPr>
        <w:t>, and we sustain respondent's determinations.</w:t>
      </w:r>
    </w:p>
    <w:p w:rsidR="002F509B" w:rsidRPr="00D81B2D" w:rsidRDefault="002F509B" w:rsidP="00D81B2D">
      <w:pPr>
        <w:spacing w:before="120"/>
        <w:rPr>
          <w:b/>
          <w:color w:val="000000"/>
          <w:sz w:val="22"/>
          <w:szCs w:val="22"/>
        </w:rPr>
      </w:pPr>
      <w:r w:rsidRPr="00D81B2D">
        <w:rPr>
          <w:b/>
          <w:i/>
          <w:iCs/>
          <w:color w:val="000000"/>
          <w:sz w:val="22"/>
          <w:szCs w:val="22"/>
        </w:rPr>
        <w:t>Decision will be entered for respondent.</w:t>
      </w:r>
    </w:p>
    <w:bookmarkStart w:id="3" w:name="FN1001E0028000431567"/>
    <w:p w:rsidR="002F509B" w:rsidRPr="00D81B2D" w:rsidRDefault="002F509B" w:rsidP="00D81B2D">
      <w:pPr>
        <w:pStyle w:val="NormalWeb"/>
        <w:spacing w:before="120" w:beforeAutospacing="0" w:after="0" w:afterAutospacing="0"/>
        <w:ind w:firstLine="240"/>
        <w:rPr>
          <w:rFonts w:ascii="Times New Roman" w:hAnsi="Times New Roman" w:cs="Times New Roman"/>
          <w:sz w:val="22"/>
          <w:szCs w:val="22"/>
        </w:rPr>
      </w:pPr>
      <w:r w:rsidRPr="00D81B2D">
        <w:rPr>
          <w:rFonts w:ascii="Times New Roman" w:hAnsi="Times New Roman" w:cs="Times New Roman"/>
          <w:sz w:val="22"/>
          <w:szCs w:val="22"/>
          <w:vertAlign w:val="superscript"/>
        </w:rPr>
        <w:fldChar w:fldCharType="begin"/>
      </w:r>
      <w:r w:rsidRPr="00D81B2D">
        <w:rPr>
          <w:rFonts w:ascii="Times New Roman" w:hAnsi="Times New Roman" w:cs="Times New Roman"/>
          <w:sz w:val="22"/>
          <w:szCs w:val="22"/>
          <w:vertAlign w:val="superscript"/>
        </w:rPr>
        <w:instrText xml:space="preserve"> HYPERLINK "http://tax.cchgroup.com/primesrc/bin/highwire.dll?U=yqqf18&amp;MH=200&amp;QBE=N&amp;RR=Y&amp;ATH=Y&amp;KM=Y&amp;PLT=B&amp;DI=1034E749E74A71A833BDcchnavapp008%3B216.251.244.147&amp;LI=00040000000D&amp;fShowByPubs=NO&amp;NSH=1&amp;DocInternalLink=001E0028000431567&amp;fShowByTOC=NO&amp;fShowByTOCMode=FALSE&amp;fBBarInDoc=YES&amp;IP=1&amp;NSH=1&amp;iBBActions=2043759l&amp;fHasPrevDoc=Y&amp;fHasNextDoc=Y&amp;fIsSubLibLink=Y&amp;QDK=4&amp;UserInput=%20LINKTCM%20TCM%201994-393&amp;ModifiedLink=%20LINKTCM%20TCM%201994-393&amp;LinkString=TCM1994-393&amp;Handle=LINKTCM&amp;UE=&amp;a=dd&amp;fPrintUserID=N&amp;FRMS=DOC&amp;NFRM=DOC&amp;ult=h" \l "FR1001E0028000431567#FR1001E0028000431567" </w:instrText>
      </w:r>
      <w:r w:rsidRPr="00D81B2D">
        <w:rPr>
          <w:rFonts w:ascii="Times New Roman" w:hAnsi="Times New Roman" w:cs="Times New Roman"/>
          <w:sz w:val="22"/>
          <w:szCs w:val="22"/>
          <w:vertAlign w:val="superscript"/>
        </w:rPr>
        <w:fldChar w:fldCharType="separate"/>
      </w:r>
      <w:r w:rsidRPr="00D81B2D">
        <w:rPr>
          <w:rStyle w:val="Hyperlink"/>
          <w:rFonts w:ascii="Times New Roman" w:hAnsi="Times New Roman" w:cs="Times New Roman"/>
          <w:sz w:val="22"/>
          <w:szCs w:val="22"/>
          <w:vertAlign w:val="superscript"/>
        </w:rPr>
        <w:t>1</w:t>
      </w:r>
      <w:r w:rsidRPr="00D81B2D">
        <w:rPr>
          <w:rFonts w:ascii="Times New Roman" w:hAnsi="Times New Roman" w:cs="Times New Roman"/>
          <w:sz w:val="22"/>
          <w:szCs w:val="22"/>
          <w:vertAlign w:val="superscript"/>
        </w:rPr>
        <w:fldChar w:fldCharType="end"/>
      </w:r>
      <w:bookmarkEnd w:id="3"/>
      <w:r w:rsidRPr="00D81B2D">
        <w:rPr>
          <w:rFonts w:ascii="Times New Roman" w:hAnsi="Times New Roman" w:cs="Times New Roman"/>
          <w:sz w:val="22"/>
          <w:szCs w:val="22"/>
        </w:rPr>
        <w:t xml:space="preserve"> Unless otherwise indicated, section references are to the Internal Revenue Code in effect for the year in issue, and all Rule references are to the Tax Court Rules of Practice and Procedure.</w:t>
      </w:r>
    </w:p>
    <w:p w:rsidR="00C445DA" w:rsidRPr="00D81B2D" w:rsidRDefault="00C445DA" w:rsidP="00D81B2D">
      <w:pPr>
        <w:spacing w:before="120"/>
        <w:rPr>
          <w:sz w:val="22"/>
          <w:szCs w:val="22"/>
        </w:rPr>
      </w:pPr>
    </w:p>
    <w:sectPr w:rsidR="00C445DA" w:rsidRPr="00D81B2D" w:rsidSect="00F4637D">
      <w:headerReference w:type="default" r:id="rId32"/>
      <w:pgSz w:w="12240" w:h="15840"/>
      <w:pgMar w:top="1296"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DB7" w:rsidRDefault="00203DB7">
      <w:r>
        <w:separator/>
      </w:r>
    </w:p>
  </w:endnote>
  <w:endnote w:type="continuationSeparator" w:id="0">
    <w:p w:rsidR="00203DB7" w:rsidRDefault="0020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DB7" w:rsidRDefault="00203DB7">
      <w:r>
        <w:separator/>
      </w:r>
    </w:p>
  </w:footnote>
  <w:footnote w:type="continuationSeparator" w:id="0">
    <w:p w:rsidR="00203DB7" w:rsidRDefault="00203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28D" w:rsidRPr="00F4637D" w:rsidRDefault="0026128D" w:rsidP="00F4637D">
    <w:pPr>
      <w:pStyle w:val="Header"/>
      <w:pBdr>
        <w:top w:val="single" w:sz="4" w:space="1" w:color="auto"/>
        <w:left w:val="single" w:sz="4" w:space="4" w:color="auto"/>
        <w:bottom w:val="single" w:sz="4" w:space="1" w:color="auto"/>
        <w:right w:val="single" w:sz="4" w:space="4" w:color="auto"/>
      </w:pBdr>
      <w:jc w:val="center"/>
      <w:rPr>
        <w:sz w:val="20"/>
        <w:szCs w:val="20"/>
      </w:rPr>
    </w:pPr>
    <w:r w:rsidRPr="00F4637D">
      <w:rPr>
        <w:sz w:val="20"/>
        <w:szCs w:val="20"/>
      </w:rPr>
      <w:fldChar w:fldCharType="begin"/>
    </w:r>
    <w:r w:rsidRPr="00F4637D">
      <w:rPr>
        <w:sz w:val="20"/>
        <w:szCs w:val="20"/>
      </w:rPr>
      <w:instrText xml:space="preserve"> FILENAME </w:instrText>
    </w:r>
    <w:r w:rsidRPr="00F4637D">
      <w:rPr>
        <w:sz w:val="20"/>
        <w:szCs w:val="20"/>
      </w:rPr>
      <w:fldChar w:fldCharType="separate"/>
    </w:r>
    <w:r w:rsidR="00F4637D">
      <w:rPr>
        <w:noProof/>
        <w:sz w:val="20"/>
        <w:szCs w:val="20"/>
      </w:rPr>
      <w:t>C7-11-05-Frank Leou-1374-BIG Tax.doc</w:t>
    </w:r>
    <w:r w:rsidRPr="00F4637D">
      <w:rPr>
        <w:sz w:val="20"/>
        <w:szCs w:val="20"/>
      </w:rPr>
      <w:fldChar w:fldCharType="end"/>
    </w:r>
    <w:r w:rsidRPr="00F4637D">
      <w:rPr>
        <w:sz w:val="20"/>
        <w:szCs w:val="20"/>
      </w:rPr>
      <w:t xml:space="preserve">. Page </w:t>
    </w:r>
    <w:r w:rsidRPr="00F4637D">
      <w:rPr>
        <w:sz w:val="20"/>
        <w:szCs w:val="20"/>
      </w:rPr>
      <w:fldChar w:fldCharType="begin"/>
    </w:r>
    <w:r w:rsidRPr="00F4637D">
      <w:rPr>
        <w:sz w:val="20"/>
        <w:szCs w:val="20"/>
      </w:rPr>
      <w:instrText xml:space="preserve"> PAGE </w:instrText>
    </w:r>
    <w:r w:rsidRPr="00F4637D">
      <w:rPr>
        <w:sz w:val="20"/>
        <w:szCs w:val="20"/>
      </w:rPr>
      <w:fldChar w:fldCharType="separate"/>
    </w:r>
    <w:r w:rsidR="004072CF">
      <w:rPr>
        <w:noProof/>
        <w:sz w:val="20"/>
        <w:szCs w:val="20"/>
      </w:rPr>
      <w:t>1</w:t>
    </w:r>
    <w:r w:rsidRPr="00F4637D">
      <w:rPr>
        <w:sz w:val="20"/>
        <w:szCs w:val="20"/>
      </w:rPr>
      <w:fldChar w:fldCharType="end"/>
    </w:r>
    <w:r w:rsidRPr="00F4637D">
      <w:rPr>
        <w:sz w:val="20"/>
        <w:szCs w:val="20"/>
      </w:rPr>
      <w:t xml:space="preserve"> of </w:t>
    </w:r>
    <w:r w:rsidRPr="00F4637D">
      <w:rPr>
        <w:sz w:val="20"/>
        <w:szCs w:val="20"/>
      </w:rPr>
      <w:fldChar w:fldCharType="begin"/>
    </w:r>
    <w:r w:rsidRPr="00F4637D">
      <w:rPr>
        <w:sz w:val="20"/>
        <w:szCs w:val="20"/>
      </w:rPr>
      <w:instrText xml:space="preserve"> NUMPAGES </w:instrText>
    </w:r>
    <w:r w:rsidRPr="00F4637D">
      <w:rPr>
        <w:sz w:val="20"/>
        <w:szCs w:val="20"/>
      </w:rPr>
      <w:fldChar w:fldCharType="separate"/>
    </w:r>
    <w:r w:rsidR="004072CF">
      <w:rPr>
        <w:noProof/>
        <w:sz w:val="20"/>
        <w:szCs w:val="20"/>
      </w:rPr>
      <w:t>2</w:t>
    </w:r>
    <w:r w:rsidRPr="00F4637D">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09B"/>
    <w:rsid w:val="000F2A38"/>
    <w:rsid w:val="001E3006"/>
    <w:rsid w:val="00203DB7"/>
    <w:rsid w:val="0026128D"/>
    <w:rsid w:val="002F509B"/>
    <w:rsid w:val="004072CF"/>
    <w:rsid w:val="00451602"/>
    <w:rsid w:val="00540463"/>
    <w:rsid w:val="009B62C3"/>
    <w:rsid w:val="00C445DA"/>
    <w:rsid w:val="00D77AAF"/>
    <w:rsid w:val="00D81B2D"/>
    <w:rsid w:val="00DC24BA"/>
    <w:rsid w:val="00F4637D"/>
    <w:rsid w:val="00FE7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Street"/>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19DFC2D2-C9D2-433D-B70B-2A0680B5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2F509B"/>
    <w:pPr>
      <w:spacing w:before="100" w:beforeAutospacing="1" w:after="100" w:afterAutospacing="1"/>
      <w:outlineLvl w:val="0"/>
    </w:pPr>
    <w:rPr>
      <w:rFonts w:ascii="Arial" w:hAnsi="Arial" w:cs="Arial"/>
      <w:b/>
      <w:bCs/>
      <w:color w:val="000000"/>
      <w:kern w:val="36"/>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F509B"/>
    <w:rPr>
      <w:rFonts w:ascii="Arial" w:hAnsi="Arial" w:cs="Arial" w:hint="default"/>
      <w:b w:val="0"/>
      <w:bCs w:val="0"/>
      <w:color w:val="0000CC"/>
      <w:sz w:val="20"/>
      <w:szCs w:val="20"/>
      <w:u w:val="single"/>
    </w:rPr>
  </w:style>
  <w:style w:type="paragraph" w:styleId="NormalWeb">
    <w:name w:val="Normal (Web)"/>
    <w:basedOn w:val="Normal"/>
    <w:rsid w:val="002F509B"/>
    <w:pPr>
      <w:spacing w:before="100" w:beforeAutospacing="1" w:after="100" w:afterAutospacing="1"/>
    </w:pPr>
    <w:rPr>
      <w:rFonts w:ascii="Arial" w:hAnsi="Arial" w:cs="Arial"/>
      <w:color w:val="000000"/>
      <w:sz w:val="20"/>
      <w:szCs w:val="20"/>
    </w:rPr>
  </w:style>
  <w:style w:type="paragraph" w:styleId="Header">
    <w:name w:val="header"/>
    <w:basedOn w:val="Normal"/>
    <w:rsid w:val="0026128D"/>
    <w:pPr>
      <w:tabs>
        <w:tab w:val="center" w:pos="4320"/>
        <w:tab w:val="right" w:pos="8640"/>
      </w:tabs>
    </w:pPr>
  </w:style>
  <w:style w:type="paragraph" w:styleId="Footer">
    <w:name w:val="footer"/>
    <w:basedOn w:val="Normal"/>
    <w:rsid w:val="0026128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javascript:rDoDocLink('section%201362%20');" TargetMode="External"/><Relationship Id="rId13" Type="http://schemas.openxmlformats.org/officeDocument/2006/relationships/hyperlink" Target="javascript:rDoDocLink('Section%201374%20');" TargetMode="External"/><Relationship Id="rId18" Type="http://schemas.openxmlformats.org/officeDocument/2006/relationships/hyperlink" Target="javascript:rDoDocLink('section%201374%20');" TargetMode="External"/><Relationship Id="rId26" Type="http://schemas.openxmlformats.org/officeDocument/2006/relationships/hyperlink" Target="javascript:rDoDocLink('Ann.%2086-128%20');" TargetMode="External"/><Relationship Id="rId3" Type="http://schemas.openxmlformats.org/officeDocument/2006/relationships/webSettings" Target="webSettings.xml"/><Relationship Id="rId21" Type="http://schemas.openxmlformats.org/officeDocument/2006/relationships/hyperlink" Target="javascript:rDoDocLink('S1374(D)(2)%20');" TargetMode="External"/><Relationship Id="rId34" Type="http://schemas.openxmlformats.org/officeDocument/2006/relationships/theme" Target="theme/theme1.xml"/><Relationship Id="rId7" Type="http://schemas.openxmlformats.org/officeDocument/2006/relationships/hyperlink" Target="javascript:rDoDocLink('section%207443A(b)(3)%20');" TargetMode="External"/><Relationship Id="rId12" Type="http://schemas.openxmlformats.org/officeDocument/2006/relationships/hyperlink" Target="javascript:rDoDocLink('section%20337%20');" TargetMode="External"/><Relationship Id="rId17" Type="http://schemas.openxmlformats.org/officeDocument/2006/relationships/hyperlink" Target="javascript:rDoDocLink('Ann.%2086-128%20');" TargetMode="External"/><Relationship Id="rId25" Type="http://schemas.openxmlformats.org/officeDocument/2006/relationships/hyperlink" Target="javascript:rDoDocLink('sec.%201019(a)%20');"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javascript:rDoDocLink('sec.%201374(d)(2)%20');" TargetMode="External"/><Relationship Id="rId20" Type="http://schemas.openxmlformats.org/officeDocument/2006/relationships/hyperlink" Target="javascript:rDoDocLink('Sec.%201374(a)%20');" TargetMode="External"/><Relationship Id="rId29" Type="http://schemas.openxmlformats.org/officeDocument/2006/relationships/hyperlink" Target="javascript:rDoDocLink('section%201374%20');" TargetMode="External"/><Relationship Id="rId1" Type="http://schemas.openxmlformats.org/officeDocument/2006/relationships/styles" Target="styles.xml"/><Relationship Id="rId6" Type="http://schemas.openxmlformats.org/officeDocument/2006/relationships/hyperlink" Target="javascript:rDoDocLink('Sec.%201374%20');" TargetMode="External"/><Relationship Id="rId11" Type="http://schemas.openxmlformats.org/officeDocument/2006/relationships/hyperlink" Target="javascript:rDoDocLink('section%201374%20');" TargetMode="External"/><Relationship Id="rId24" Type="http://schemas.openxmlformats.org/officeDocument/2006/relationships/hyperlink" Target="javascript:rDoDocLink('section%201374%20');" TargetMode="External"/><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javascript:rDoDocLink('section%201374%20');" TargetMode="External"/><Relationship Id="rId23" Type="http://schemas.openxmlformats.org/officeDocument/2006/relationships/hyperlink" Target="javascript:rDoDocLink('Sec.%201374(b)(1)%20');" TargetMode="External"/><Relationship Id="rId28" Type="http://schemas.openxmlformats.org/officeDocument/2006/relationships/hyperlink" Target="javascript:rDoDocLink('sec.%201.1374-4(b)(1)%20');" TargetMode="External"/><Relationship Id="rId10" Type="http://schemas.openxmlformats.org/officeDocument/2006/relationships/hyperlink" Target="javascript:rDoDocLink('Section%201374%20');" TargetMode="External"/><Relationship Id="rId19" Type="http://schemas.openxmlformats.org/officeDocument/2006/relationships/hyperlink" Target="javascript:rDoDocLink('Section%201374%20');" TargetMode="External"/><Relationship Id="rId31" Type="http://schemas.openxmlformats.org/officeDocument/2006/relationships/hyperlink" Target="javascript:rDoDocLink('section%201374%20');" TargetMode="External"/><Relationship Id="rId4" Type="http://schemas.openxmlformats.org/officeDocument/2006/relationships/footnotes" Target="footnotes.xml"/><Relationship Id="rId9" Type="http://schemas.openxmlformats.org/officeDocument/2006/relationships/hyperlink" Target="javascript:rDoDocLink('section%201374%20');" TargetMode="External"/><Relationship Id="rId14" Type="http://schemas.openxmlformats.org/officeDocument/2006/relationships/hyperlink" Target="javascript:rDoDocLink('36-1%20USTC%20&#182;9012%20');" TargetMode="External"/><Relationship Id="rId22" Type="http://schemas.openxmlformats.org/officeDocument/2006/relationships/hyperlink" Target="javascript:rDoDocLink('S1374(D)(3)%20');" TargetMode="External"/><Relationship Id="rId27" Type="http://schemas.openxmlformats.org/officeDocument/2006/relationships/hyperlink" Target="javascript:rDoDocLink('section%201374%20');" TargetMode="External"/><Relationship Id="rId30" Type="http://schemas.openxmlformats.org/officeDocument/2006/relationships/hyperlink" Target="javascript:rDoDocLink('section%201374(d)(5)(A)%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C7-11-05-Frank Leou-1374-BIG Tax</vt:lpstr>
    </vt:vector>
  </TitlesOfParts>
  <Company>UNC Charlotte</Company>
  <LinksUpToDate>false</LinksUpToDate>
  <CharactersWithSpaces>10083</CharactersWithSpaces>
  <SharedDoc>false</SharedDoc>
  <HLinks>
    <vt:vector size="168" baseType="variant">
      <vt:variant>
        <vt:i4>7274530</vt:i4>
      </vt:variant>
      <vt:variant>
        <vt:i4>81</vt:i4>
      </vt:variant>
      <vt:variant>
        <vt:i4>0</vt:i4>
      </vt:variant>
      <vt:variant>
        <vt:i4>5</vt:i4>
      </vt:variant>
      <vt:variant>
        <vt:lpwstr>http://tax.cchgroup.com/primesrc/bin/highwire.dll?U=yqqf18&amp;MH=200&amp;QBE=N&amp;RR=Y&amp;ATH=Y&amp;KM=Y&amp;PLT=B&amp;DI=1034E749E74A71A833BDcchnavapp008%3B216.251.244.147&amp;LI=00040000000D&amp;fShowByPubs=NO&amp;NSH=1&amp;DocInternalLink=001E0028000431567&amp;fShowByTOC=NO&amp;fShowByTOCMode=FALSE&amp;fBBarInDoc=YES&amp;IP=1&amp;NSH=1&amp;iBBActions=2043759l&amp;fHasPrevDoc=Y&amp;fHasNextDoc=Y&amp;fIsSubLibLink=Y&amp;QDK=4&amp;UserInput=%20LINKTCM%20TCM%201994-393&amp;ModifiedLink=%20LINKTCM%20TCM%201994-393&amp;LinkString=TCM1994-393&amp;Handle=LINKTCM&amp;UE=&amp;a=dd&amp;fPrintUserID=N&amp;FRMS=DOC&amp;NFRM=DOC&amp;ult=h</vt:lpwstr>
      </vt:variant>
      <vt:variant>
        <vt:lpwstr>FR1001E0028000431567#FR1001E0028000431567</vt:lpwstr>
      </vt:variant>
      <vt:variant>
        <vt:i4>4063343</vt:i4>
      </vt:variant>
      <vt:variant>
        <vt:i4>78</vt:i4>
      </vt:variant>
      <vt:variant>
        <vt:i4>0</vt:i4>
      </vt:variant>
      <vt:variant>
        <vt:i4>5</vt:i4>
      </vt:variant>
      <vt:variant>
        <vt:lpwstr>javascript:rDoDocLink('section 1374 ');</vt:lpwstr>
      </vt:variant>
      <vt:variant>
        <vt:lpwstr/>
      </vt:variant>
      <vt:variant>
        <vt:i4>1966149</vt:i4>
      </vt:variant>
      <vt:variant>
        <vt:i4>75</vt:i4>
      </vt:variant>
      <vt:variant>
        <vt:i4>0</vt:i4>
      </vt:variant>
      <vt:variant>
        <vt:i4>5</vt:i4>
      </vt:variant>
      <vt:variant>
        <vt:lpwstr>javascript:rDoDocLink('section 1374(d)(5)(A) ');</vt:lpwstr>
      </vt:variant>
      <vt:variant>
        <vt:lpwstr/>
      </vt:variant>
      <vt:variant>
        <vt:i4>4063343</vt:i4>
      </vt:variant>
      <vt:variant>
        <vt:i4>72</vt:i4>
      </vt:variant>
      <vt:variant>
        <vt:i4>0</vt:i4>
      </vt:variant>
      <vt:variant>
        <vt:i4>5</vt:i4>
      </vt:variant>
      <vt:variant>
        <vt:lpwstr>javascript:rDoDocLink('section 1374 ');</vt:lpwstr>
      </vt:variant>
      <vt:variant>
        <vt:lpwstr/>
      </vt:variant>
      <vt:variant>
        <vt:i4>7602297</vt:i4>
      </vt:variant>
      <vt:variant>
        <vt:i4>69</vt:i4>
      </vt:variant>
      <vt:variant>
        <vt:i4>0</vt:i4>
      </vt:variant>
      <vt:variant>
        <vt:i4>5</vt:i4>
      </vt:variant>
      <vt:variant>
        <vt:lpwstr>javascript:rDoDocLink('sec. 1.1374-4(b)(1) ');</vt:lpwstr>
      </vt:variant>
      <vt:variant>
        <vt:lpwstr/>
      </vt:variant>
      <vt:variant>
        <vt:i4>4063343</vt:i4>
      </vt:variant>
      <vt:variant>
        <vt:i4>66</vt:i4>
      </vt:variant>
      <vt:variant>
        <vt:i4>0</vt:i4>
      </vt:variant>
      <vt:variant>
        <vt:i4>5</vt:i4>
      </vt:variant>
      <vt:variant>
        <vt:lpwstr>javascript:rDoDocLink('section 1374 ');</vt:lpwstr>
      </vt:variant>
      <vt:variant>
        <vt:lpwstr/>
      </vt:variant>
      <vt:variant>
        <vt:i4>2752639</vt:i4>
      </vt:variant>
      <vt:variant>
        <vt:i4>63</vt:i4>
      </vt:variant>
      <vt:variant>
        <vt:i4>0</vt:i4>
      </vt:variant>
      <vt:variant>
        <vt:i4>5</vt:i4>
      </vt:variant>
      <vt:variant>
        <vt:lpwstr>javascript:rDoDocLink('Ann. 86-128 ');</vt:lpwstr>
      </vt:variant>
      <vt:variant>
        <vt:lpwstr/>
      </vt:variant>
      <vt:variant>
        <vt:i4>7798908</vt:i4>
      </vt:variant>
      <vt:variant>
        <vt:i4>60</vt:i4>
      </vt:variant>
      <vt:variant>
        <vt:i4>0</vt:i4>
      </vt:variant>
      <vt:variant>
        <vt:i4>5</vt:i4>
      </vt:variant>
      <vt:variant>
        <vt:lpwstr>javascript:rDoDocLink('sec. 1019(a) ');</vt:lpwstr>
      </vt:variant>
      <vt:variant>
        <vt:lpwstr/>
      </vt:variant>
      <vt:variant>
        <vt:i4>4063343</vt:i4>
      </vt:variant>
      <vt:variant>
        <vt:i4>57</vt:i4>
      </vt:variant>
      <vt:variant>
        <vt:i4>0</vt:i4>
      </vt:variant>
      <vt:variant>
        <vt:i4>5</vt:i4>
      </vt:variant>
      <vt:variant>
        <vt:lpwstr>javascript:rDoDocLink('section 1374 ');</vt:lpwstr>
      </vt:variant>
      <vt:variant>
        <vt:lpwstr/>
      </vt:variant>
      <vt:variant>
        <vt:i4>7209061</vt:i4>
      </vt:variant>
      <vt:variant>
        <vt:i4>54</vt:i4>
      </vt:variant>
      <vt:variant>
        <vt:i4>0</vt:i4>
      </vt:variant>
      <vt:variant>
        <vt:i4>5</vt:i4>
      </vt:variant>
      <vt:variant>
        <vt:lpwstr>javascript:rDoDocLink('Sec. 1374(b)(1) ');</vt:lpwstr>
      </vt:variant>
      <vt:variant>
        <vt:lpwstr/>
      </vt:variant>
      <vt:variant>
        <vt:i4>2818092</vt:i4>
      </vt:variant>
      <vt:variant>
        <vt:i4>51</vt:i4>
      </vt:variant>
      <vt:variant>
        <vt:i4>0</vt:i4>
      </vt:variant>
      <vt:variant>
        <vt:i4>5</vt:i4>
      </vt:variant>
      <vt:variant>
        <vt:lpwstr>javascript:rDoDocLink('S1374(D)(3) ');</vt:lpwstr>
      </vt:variant>
      <vt:variant>
        <vt:lpwstr/>
      </vt:variant>
      <vt:variant>
        <vt:i4>2818093</vt:i4>
      </vt:variant>
      <vt:variant>
        <vt:i4>48</vt:i4>
      </vt:variant>
      <vt:variant>
        <vt:i4>0</vt:i4>
      </vt:variant>
      <vt:variant>
        <vt:i4>5</vt:i4>
      </vt:variant>
      <vt:variant>
        <vt:lpwstr>javascript:rDoDocLink('S1374(D)(2) ');</vt:lpwstr>
      </vt:variant>
      <vt:variant>
        <vt:lpwstr/>
      </vt:variant>
      <vt:variant>
        <vt:i4>7929978</vt:i4>
      </vt:variant>
      <vt:variant>
        <vt:i4>45</vt:i4>
      </vt:variant>
      <vt:variant>
        <vt:i4>0</vt:i4>
      </vt:variant>
      <vt:variant>
        <vt:i4>5</vt:i4>
      </vt:variant>
      <vt:variant>
        <vt:lpwstr>javascript:rDoDocLink('Sec. 1374(a) ');</vt:lpwstr>
      </vt:variant>
      <vt:variant>
        <vt:lpwstr/>
      </vt:variant>
      <vt:variant>
        <vt:i4>4063343</vt:i4>
      </vt:variant>
      <vt:variant>
        <vt:i4>42</vt:i4>
      </vt:variant>
      <vt:variant>
        <vt:i4>0</vt:i4>
      </vt:variant>
      <vt:variant>
        <vt:i4>5</vt:i4>
      </vt:variant>
      <vt:variant>
        <vt:lpwstr>javascript:rDoDocLink('Section 1374 ');</vt:lpwstr>
      </vt:variant>
      <vt:variant>
        <vt:lpwstr/>
      </vt:variant>
      <vt:variant>
        <vt:i4>4063343</vt:i4>
      </vt:variant>
      <vt:variant>
        <vt:i4>39</vt:i4>
      </vt:variant>
      <vt:variant>
        <vt:i4>0</vt:i4>
      </vt:variant>
      <vt:variant>
        <vt:i4>5</vt:i4>
      </vt:variant>
      <vt:variant>
        <vt:lpwstr>javascript:rDoDocLink('section 1374 ');</vt:lpwstr>
      </vt:variant>
      <vt:variant>
        <vt:lpwstr/>
      </vt:variant>
      <vt:variant>
        <vt:i4>2752639</vt:i4>
      </vt:variant>
      <vt:variant>
        <vt:i4>36</vt:i4>
      </vt:variant>
      <vt:variant>
        <vt:i4>0</vt:i4>
      </vt:variant>
      <vt:variant>
        <vt:i4>5</vt:i4>
      </vt:variant>
      <vt:variant>
        <vt:lpwstr>javascript:rDoDocLink('Ann. 86-128 ');</vt:lpwstr>
      </vt:variant>
      <vt:variant>
        <vt:lpwstr/>
      </vt:variant>
      <vt:variant>
        <vt:i4>6815846</vt:i4>
      </vt:variant>
      <vt:variant>
        <vt:i4>33</vt:i4>
      </vt:variant>
      <vt:variant>
        <vt:i4>0</vt:i4>
      </vt:variant>
      <vt:variant>
        <vt:i4>5</vt:i4>
      </vt:variant>
      <vt:variant>
        <vt:lpwstr>javascript:rDoDocLink('sec. 1374(d)(2) ');</vt:lpwstr>
      </vt:variant>
      <vt:variant>
        <vt:lpwstr/>
      </vt:variant>
      <vt:variant>
        <vt:i4>4063343</vt:i4>
      </vt:variant>
      <vt:variant>
        <vt:i4>30</vt:i4>
      </vt:variant>
      <vt:variant>
        <vt:i4>0</vt:i4>
      </vt:variant>
      <vt:variant>
        <vt:i4>5</vt:i4>
      </vt:variant>
      <vt:variant>
        <vt:lpwstr>javascript:rDoDocLink('section 1374 ');</vt:lpwstr>
      </vt:variant>
      <vt:variant>
        <vt:lpwstr/>
      </vt:variant>
      <vt:variant>
        <vt:i4>10485814</vt:i4>
      </vt:variant>
      <vt:variant>
        <vt:i4>27</vt:i4>
      </vt:variant>
      <vt:variant>
        <vt:i4>0</vt:i4>
      </vt:variant>
      <vt:variant>
        <vt:i4>5</vt:i4>
      </vt:variant>
      <vt:variant>
        <vt:lpwstr>javascript:rDoDocLink('36-1 USTC ¶9012 ');</vt:lpwstr>
      </vt:variant>
      <vt:variant>
        <vt:lpwstr/>
      </vt:variant>
      <vt:variant>
        <vt:i4>4063343</vt:i4>
      </vt:variant>
      <vt:variant>
        <vt:i4>24</vt:i4>
      </vt:variant>
      <vt:variant>
        <vt:i4>0</vt:i4>
      </vt:variant>
      <vt:variant>
        <vt:i4>5</vt:i4>
      </vt:variant>
      <vt:variant>
        <vt:lpwstr>javascript:rDoDocLink('Section 1374 ');</vt:lpwstr>
      </vt:variant>
      <vt:variant>
        <vt:lpwstr/>
      </vt:variant>
      <vt:variant>
        <vt:i4>2687093</vt:i4>
      </vt:variant>
      <vt:variant>
        <vt:i4>21</vt:i4>
      </vt:variant>
      <vt:variant>
        <vt:i4>0</vt:i4>
      </vt:variant>
      <vt:variant>
        <vt:i4>5</vt:i4>
      </vt:variant>
      <vt:variant>
        <vt:lpwstr>javascript:rDoDocLink('section 337 ');</vt:lpwstr>
      </vt:variant>
      <vt:variant>
        <vt:lpwstr/>
      </vt:variant>
      <vt:variant>
        <vt:i4>4063343</vt:i4>
      </vt:variant>
      <vt:variant>
        <vt:i4>18</vt:i4>
      </vt:variant>
      <vt:variant>
        <vt:i4>0</vt:i4>
      </vt:variant>
      <vt:variant>
        <vt:i4>5</vt:i4>
      </vt:variant>
      <vt:variant>
        <vt:lpwstr>javascript:rDoDocLink('section 1374 ');</vt:lpwstr>
      </vt:variant>
      <vt:variant>
        <vt:lpwstr/>
      </vt:variant>
      <vt:variant>
        <vt:i4>4063343</vt:i4>
      </vt:variant>
      <vt:variant>
        <vt:i4>15</vt:i4>
      </vt:variant>
      <vt:variant>
        <vt:i4>0</vt:i4>
      </vt:variant>
      <vt:variant>
        <vt:i4>5</vt:i4>
      </vt:variant>
      <vt:variant>
        <vt:lpwstr>javascript:rDoDocLink('Section 1374 ');</vt:lpwstr>
      </vt:variant>
      <vt:variant>
        <vt:lpwstr/>
      </vt:variant>
      <vt:variant>
        <vt:i4>4063343</vt:i4>
      </vt:variant>
      <vt:variant>
        <vt:i4>12</vt:i4>
      </vt:variant>
      <vt:variant>
        <vt:i4>0</vt:i4>
      </vt:variant>
      <vt:variant>
        <vt:i4>5</vt:i4>
      </vt:variant>
      <vt:variant>
        <vt:lpwstr>javascript:rDoDocLink('section 1374 ');</vt:lpwstr>
      </vt:variant>
      <vt:variant>
        <vt:lpwstr/>
      </vt:variant>
      <vt:variant>
        <vt:i4>4128873</vt:i4>
      </vt:variant>
      <vt:variant>
        <vt:i4>9</vt:i4>
      </vt:variant>
      <vt:variant>
        <vt:i4>0</vt:i4>
      </vt:variant>
      <vt:variant>
        <vt:i4>5</vt:i4>
      </vt:variant>
      <vt:variant>
        <vt:lpwstr>javascript:rDoDocLink('section 1362 ');</vt:lpwstr>
      </vt:variant>
      <vt:variant>
        <vt:lpwstr/>
      </vt:variant>
      <vt:variant>
        <vt:i4>7536702</vt:i4>
      </vt:variant>
      <vt:variant>
        <vt:i4>6</vt:i4>
      </vt:variant>
      <vt:variant>
        <vt:i4>0</vt:i4>
      </vt:variant>
      <vt:variant>
        <vt:i4>5</vt:i4>
      </vt:variant>
      <vt:variant>
        <vt:lpwstr>http://tax.cchgroup.com/primesrc/bin/highwire.dll?U=yqqf18&amp;MH=200&amp;QBE=N&amp;RR=Y&amp;ATH=Y&amp;KM=Y&amp;PLT=B&amp;DI=1034E749E74A71A833BDcchnavapp008%3B216.251.244.147&amp;LI=00040000000D&amp;fShowByPubs=NO&amp;NSH=1&amp;DocInternalLink=001E0028000431567&amp;fShowByTOC=NO&amp;fShowByTOCMode=FALSE&amp;fBBarInDoc=YES&amp;IP=1&amp;NSH=1&amp;iBBActions=2043759l&amp;fHasPrevDoc=Y&amp;fHasNextDoc=Y&amp;fIsSubLibLink=Y&amp;QDK=4&amp;UserInput=%20LINKTCM%20TCM%201994-393&amp;ModifiedLink=%20LINKTCM%20TCM%201994-393&amp;LinkString=TCM1994-393&amp;Handle=LINKTCM&amp;UE=&amp;a=dd&amp;fPrintUserID=N&amp;FRMS=DOC&amp;NFRM=DOC&amp;ult=h</vt:lpwstr>
      </vt:variant>
      <vt:variant>
        <vt:lpwstr>FN1001E0028000431567#FN1001E0028000431567</vt:lpwstr>
      </vt:variant>
      <vt:variant>
        <vt:i4>2883699</vt:i4>
      </vt:variant>
      <vt:variant>
        <vt:i4>3</vt:i4>
      </vt:variant>
      <vt:variant>
        <vt:i4>0</vt:i4>
      </vt:variant>
      <vt:variant>
        <vt:i4>5</vt:i4>
      </vt:variant>
      <vt:variant>
        <vt:lpwstr>javascript:rDoDocLink('section 7443A(b)(3) ');</vt:lpwstr>
      </vt:variant>
      <vt:variant>
        <vt:lpwstr/>
      </vt:variant>
      <vt:variant>
        <vt:i4>852053</vt:i4>
      </vt:variant>
      <vt:variant>
        <vt:i4>0</vt:i4>
      </vt:variant>
      <vt:variant>
        <vt:i4>0</vt:i4>
      </vt:variant>
      <vt:variant>
        <vt:i4>5</vt:i4>
      </vt:variant>
      <vt:variant>
        <vt:lpwstr>javascript:rDoDocLink('Sec. 1374 ');</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C7-11-05-Frank Leou-1374-BIG Tax</dc:title>
  <dc:subject/>
  <dc:creator>Howard or Willa Godfrey</dc:creator>
  <cp:keywords/>
  <dc:description/>
  <cp:lastModifiedBy>Microsoft account</cp:lastModifiedBy>
  <cp:revision>2</cp:revision>
  <dcterms:created xsi:type="dcterms:W3CDTF">2015-12-20T23:19:00Z</dcterms:created>
  <dcterms:modified xsi:type="dcterms:W3CDTF">2015-12-20T23:19:00Z</dcterms:modified>
</cp:coreProperties>
</file>