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3875F4" w:rsidRPr="003875F4" w:rsidTr="003875F4">
        <w:trPr>
          <w:tblHeader/>
          <w:tblCellSpacing w:w="15" w:type="dxa"/>
        </w:trPr>
        <w:tc>
          <w:tcPr>
            <w:tcW w:w="0" w:type="auto"/>
            <w:vAlign w:val="center"/>
            <w:hideMark/>
          </w:tcPr>
          <w:p w:rsidR="003875F4" w:rsidRPr="003875F4" w:rsidRDefault="003875F4" w:rsidP="003875F4">
            <w:pPr>
              <w:spacing w:before="80" w:after="0" w:line="240" w:lineRule="atLeast"/>
              <w:rPr>
                <w:rFonts w:ascii="Times New Roman" w:eastAsia="Times New Roman" w:hAnsi="Times New Roman" w:cs="Times New Roman"/>
              </w:rPr>
            </w:pPr>
          </w:p>
        </w:tc>
      </w:tr>
      <w:tr w:rsidR="003875F4" w:rsidRPr="003875F4" w:rsidTr="003875F4">
        <w:trPr>
          <w:tblCellSpacing w:w="15" w:type="dxa"/>
        </w:trPr>
        <w:tc>
          <w:tcPr>
            <w:tcW w:w="0" w:type="auto"/>
            <w:vAlign w:val="center"/>
            <w:hideMark/>
          </w:tcPr>
          <w:p w:rsidR="003875F4" w:rsidRPr="003875F4" w:rsidRDefault="003875F4" w:rsidP="003875F4">
            <w:pPr>
              <w:spacing w:before="80" w:after="0" w:line="240" w:lineRule="atLeast"/>
              <w:outlineLvl w:val="0"/>
              <w:rPr>
                <w:rFonts w:ascii="Times New Roman" w:eastAsia="Times New Roman" w:hAnsi="Times New Roman" w:cs="Times New Roman"/>
                <w:b/>
                <w:bCs/>
                <w:kern w:val="36"/>
              </w:rPr>
            </w:pPr>
            <w:r w:rsidRPr="003875F4">
              <w:rPr>
                <w:rFonts w:ascii="Times New Roman" w:eastAsia="Times New Roman" w:hAnsi="Times New Roman" w:cs="Times New Roman"/>
                <w:b/>
                <w:bCs/>
                <w:kern w:val="36"/>
              </w:rPr>
              <w:t xml:space="preserve">Tax Court Small Tax Cases (Archive), </w:t>
            </w:r>
            <w:proofErr w:type="spellStart"/>
            <w:r w:rsidRPr="003875F4">
              <w:rPr>
                <w:rFonts w:ascii="Times New Roman" w:eastAsia="Times New Roman" w:hAnsi="Times New Roman" w:cs="Times New Roman"/>
                <w:b/>
                <w:bCs/>
                <w:kern w:val="36"/>
              </w:rPr>
              <w:t>Shereal</w:t>
            </w:r>
            <w:proofErr w:type="spellEnd"/>
            <w:r w:rsidRPr="003875F4">
              <w:rPr>
                <w:rFonts w:ascii="Times New Roman" w:eastAsia="Times New Roman" w:hAnsi="Times New Roman" w:cs="Times New Roman"/>
                <w:b/>
                <w:bCs/>
                <w:kern w:val="36"/>
              </w:rPr>
              <w:t xml:space="preserve"> Wallace, pro se v. Commissioner., U.S. Tax Court, T.C. Summary Opinion 2011-116, (Sept. 29, 2011)</w:t>
            </w:r>
          </w:p>
          <w:p w:rsidR="003875F4" w:rsidRPr="003875F4" w:rsidRDefault="003875F4" w:rsidP="003875F4">
            <w:pPr>
              <w:spacing w:before="80" w:after="0" w:line="240" w:lineRule="atLeast"/>
              <w:rPr>
                <w:rFonts w:ascii="Times New Roman" w:eastAsia="Times New Roman" w:hAnsi="Times New Roman" w:cs="Times New Roman"/>
              </w:rPr>
            </w:pPr>
            <w:r w:rsidRPr="003875F4">
              <w:rPr>
                <w:rFonts w:ascii="Times New Roman" w:eastAsia="Times New Roman" w:hAnsi="Times New Roman" w:cs="Times New Roman"/>
              </w:rPr>
              <w:t>Docket No. 11411-10</w:t>
            </w:r>
            <w:proofErr w:type="gramStart"/>
            <w:r w:rsidRPr="003875F4">
              <w:rPr>
                <w:rFonts w:ascii="Times New Roman" w:eastAsia="Times New Roman" w:hAnsi="Times New Roman" w:cs="Times New Roman"/>
              </w:rPr>
              <w:t>S .</w:t>
            </w:r>
            <w:proofErr w:type="gramEnd"/>
            <w:r w:rsidRPr="003875F4">
              <w:rPr>
                <w:rFonts w:ascii="Times New Roman" w:eastAsia="Times New Roman" w:hAnsi="Times New Roman" w:cs="Times New Roman"/>
              </w:rPr>
              <w:t xml:space="preserve"> Filed September 29, 2011.</w:t>
            </w:r>
          </w:p>
          <w:p w:rsidR="003875F4" w:rsidRPr="003875F4" w:rsidRDefault="003875F4" w:rsidP="003875F4">
            <w:pPr>
              <w:spacing w:before="80" w:after="0" w:line="240" w:lineRule="atLeast"/>
              <w:rPr>
                <w:rFonts w:ascii="Times New Roman" w:eastAsia="Times New Roman" w:hAnsi="Times New Roman" w:cs="Times New Roman"/>
              </w:rPr>
            </w:pPr>
            <w:proofErr w:type="spellStart"/>
            <w:r w:rsidRPr="003875F4">
              <w:rPr>
                <w:rFonts w:ascii="Times New Roman" w:eastAsia="Times New Roman" w:hAnsi="Times New Roman" w:cs="Times New Roman"/>
              </w:rPr>
              <w:t>Shereal</w:t>
            </w:r>
            <w:proofErr w:type="spellEnd"/>
            <w:r w:rsidRPr="003875F4">
              <w:rPr>
                <w:rFonts w:ascii="Times New Roman" w:eastAsia="Times New Roman" w:hAnsi="Times New Roman" w:cs="Times New Roman"/>
              </w:rPr>
              <w:t xml:space="preserve"> Wallace, pro se v. Commissioner.</w:t>
            </w:r>
          </w:p>
          <w:p w:rsidR="003875F4" w:rsidRPr="003875F4" w:rsidRDefault="003875F4" w:rsidP="003875F4">
            <w:pPr>
              <w:spacing w:before="80" w:after="0" w:line="240" w:lineRule="atLeast"/>
              <w:rPr>
                <w:rFonts w:ascii="Times New Roman" w:eastAsia="Times New Roman" w:hAnsi="Times New Roman" w:cs="Times New Roman"/>
              </w:rPr>
            </w:pPr>
            <w:bookmarkStart w:id="0" w:name="20130108T1959565350600d8e64131VA734"/>
            <w:bookmarkStart w:id="1" w:name="subdoc9"/>
            <w:bookmarkEnd w:id="0"/>
            <w:bookmarkEnd w:id="1"/>
            <w:r w:rsidRPr="003875F4">
              <w:rPr>
                <w:rFonts w:ascii="Times New Roman" w:eastAsia="Times New Roman" w:hAnsi="Times New Roman" w:cs="Times New Roman"/>
              </w:rPr>
              <w:t>[ Code Secs. 24, 151 and 152]</w:t>
            </w:r>
          </w:p>
          <w:p w:rsidR="003875F4" w:rsidRPr="003875F4" w:rsidRDefault="003875F4" w:rsidP="003875F4">
            <w:pPr>
              <w:spacing w:before="80" w:after="0" w:line="240" w:lineRule="atLeast"/>
              <w:rPr>
                <w:rFonts w:ascii="Times New Roman" w:eastAsia="Times New Roman" w:hAnsi="Times New Roman" w:cs="Times New Roman"/>
              </w:rPr>
            </w:pPr>
            <w:r w:rsidRPr="003875F4">
              <w:rPr>
                <w:rFonts w:ascii="Times New Roman" w:eastAsia="Times New Roman" w:hAnsi="Times New Roman" w:cs="Times New Roman"/>
                <w:b/>
                <w:bCs/>
              </w:rPr>
              <w:t xml:space="preserve">Tax Court: Summary opinion: Child tax credit: Dependent exemption: Qualifying child: Qualifying relative.– </w:t>
            </w:r>
          </w:p>
          <w:p w:rsidR="003875F4" w:rsidRPr="003875F4" w:rsidRDefault="003875F4" w:rsidP="003875F4">
            <w:pPr>
              <w:spacing w:before="80" w:after="0" w:line="240" w:lineRule="atLeast"/>
              <w:rPr>
                <w:rFonts w:ascii="Times New Roman" w:eastAsia="Times New Roman" w:hAnsi="Times New Roman" w:cs="Times New Roman"/>
              </w:rPr>
            </w:pPr>
            <w:r w:rsidRPr="003875F4">
              <w:rPr>
                <w:rFonts w:ascii="Times New Roman" w:eastAsia="Times New Roman" w:hAnsi="Times New Roman" w:cs="Times New Roman"/>
              </w:rPr>
              <w:t>An individual was entitled to a dependent exemption and a child tax credit for his great-niece, but not for his niece. The niece was over 21 years of age and there was no evidence that she was a full-time student. Therefore, she was not a qualifying child. She was not a qualifying relative because there was no evidence that she earned less than $3,400 for the tax year at issue. However, his great-niece was a qualifying child because she lived with the taxpayer for ten months during the year and the taxpayer provided more than one-half of her total support during that time. Because the great-niece was a qualifying child under the age of 17, the taxpayer was entitled to the child tax credit.—CCH.</w:t>
            </w:r>
          </w:p>
          <w:p w:rsidR="003875F4" w:rsidRPr="003875F4" w:rsidRDefault="003875F4" w:rsidP="003875F4">
            <w:pPr>
              <w:spacing w:before="80" w:after="0" w:line="240" w:lineRule="atLeast"/>
              <w:rPr>
                <w:rFonts w:ascii="Times New Roman" w:eastAsia="Times New Roman" w:hAnsi="Times New Roman" w:cs="Times New Roman"/>
              </w:rPr>
            </w:pPr>
            <w:r w:rsidRPr="003875F4">
              <w:rPr>
                <w:rFonts w:ascii="Times New Roman" w:eastAsia="Times New Roman" w:hAnsi="Times New Roman" w:cs="Times New Roman"/>
                <w:b/>
                <w:bCs/>
              </w:rPr>
              <w:t>PURSUANT TO INTERNAL REVENUE CODE SECTION 7463(b), THIS OPINION MAY NOT BE TREATED AS PRECEDENT FOR ANY OTHER CASE.</w:t>
            </w:r>
            <w:r w:rsidRPr="003875F4">
              <w:rPr>
                <w:rFonts w:ascii="Times New Roman" w:eastAsia="Times New Roman" w:hAnsi="Times New Roman" w:cs="Times New Roman"/>
              </w:rPr>
              <w:t xml:space="preserve"> </w:t>
            </w:r>
          </w:p>
          <w:p w:rsidR="003875F4" w:rsidRPr="003875F4" w:rsidRDefault="003875F4" w:rsidP="003875F4">
            <w:pPr>
              <w:spacing w:before="80" w:after="0" w:line="240" w:lineRule="atLeast"/>
              <w:rPr>
                <w:rFonts w:ascii="Times New Roman" w:eastAsia="Times New Roman" w:hAnsi="Times New Roman" w:cs="Times New Roman"/>
              </w:rPr>
            </w:pPr>
            <w:proofErr w:type="spellStart"/>
            <w:r w:rsidRPr="003875F4">
              <w:rPr>
                <w:rFonts w:ascii="Times New Roman" w:eastAsia="Times New Roman" w:hAnsi="Times New Roman" w:cs="Times New Roman"/>
              </w:rPr>
              <w:t>Shereal</w:t>
            </w:r>
            <w:proofErr w:type="spellEnd"/>
            <w:r w:rsidRPr="003875F4">
              <w:rPr>
                <w:rFonts w:ascii="Times New Roman" w:eastAsia="Times New Roman" w:hAnsi="Times New Roman" w:cs="Times New Roman"/>
              </w:rPr>
              <w:t xml:space="preserve"> Wallace, </w:t>
            </w:r>
            <w:r w:rsidRPr="003875F4">
              <w:rPr>
                <w:rFonts w:ascii="Times New Roman" w:eastAsia="Times New Roman" w:hAnsi="Times New Roman" w:cs="Times New Roman"/>
                <w:i/>
                <w:iCs/>
              </w:rPr>
              <w:t>pro se</w:t>
            </w:r>
            <w:r w:rsidRPr="003875F4">
              <w:rPr>
                <w:rFonts w:ascii="Times New Roman" w:eastAsia="Times New Roman" w:hAnsi="Times New Roman" w:cs="Times New Roman"/>
              </w:rPr>
              <w:t xml:space="preserve">; Christina L. </w:t>
            </w:r>
            <w:proofErr w:type="spellStart"/>
            <w:r w:rsidRPr="003875F4">
              <w:rPr>
                <w:rFonts w:ascii="Times New Roman" w:eastAsia="Times New Roman" w:hAnsi="Times New Roman" w:cs="Times New Roman"/>
              </w:rPr>
              <w:t>Lewerenz</w:t>
            </w:r>
            <w:proofErr w:type="spellEnd"/>
            <w:r w:rsidRPr="003875F4">
              <w:rPr>
                <w:rFonts w:ascii="Times New Roman" w:eastAsia="Times New Roman" w:hAnsi="Times New Roman" w:cs="Times New Roman"/>
              </w:rPr>
              <w:t>, for respondent.</w:t>
            </w:r>
          </w:p>
          <w:tbl>
            <w:tblPr>
              <w:tblW w:w="0" w:type="auto"/>
              <w:tblCellSpacing w:w="0" w:type="dxa"/>
              <w:tblCellMar>
                <w:left w:w="0" w:type="dxa"/>
                <w:right w:w="0" w:type="dxa"/>
              </w:tblCellMar>
              <w:tblLook w:val="04A0" w:firstRow="1" w:lastRow="0" w:firstColumn="1" w:lastColumn="0" w:noHBand="0" w:noVBand="1"/>
            </w:tblPr>
            <w:tblGrid>
              <w:gridCol w:w="126"/>
              <w:gridCol w:w="9864"/>
            </w:tblGrid>
            <w:tr w:rsidR="003875F4" w:rsidRPr="003875F4" w:rsidTr="003875F4">
              <w:trPr>
                <w:tblCellSpacing w:w="0" w:type="dxa"/>
              </w:trPr>
              <w:tc>
                <w:tcPr>
                  <w:tcW w:w="0" w:type="auto"/>
                  <w:noWrap/>
                  <w:tcMar>
                    <w:top w:w="0" w:type="dxa"/>
                    <w:left w:w="0" w:type="dxa"/>
                    <w:bottom w:w="150" w:type="dxa"/>
                    <w:right w:w="120" w:type="dxa"/>
                  </w:tcMar>
                  <w:hideMark/>
                </w:tcPr>
                <w:p w:rsidR="003875F4" w:rsidRPr="003875F4" w:rsidRDefault="003875F4" w:rsidP="003875F4">
                  <w:pPr>
                    <w:spacing w:before="80" w:after="0" w:line="240" w:lineRule="atLeast"/>
                    <w:rPr>
                      <w:rFonts w:ascii="Times New Roman" w:eastAsia="Times New Roman" w:hAnsi="Times New Roman" w:cs="Times New Roman"/>
                    </w:rPr>
                  </w:pPr>
                  <w:bookmarkStart w:id="2" w:name="7e3e61707b3210008056d8d385ad16940182"/>
                  <w:bookmarkEnd w:id="2"/>
                </w:p>
              </w:tc>
              <w:tc>
                <w:tcPr>
                  <w:tcW w:w="0" w:type="auto"/>
                  <w:tcMar>
                    <w:top w:w="0" w:type="dxa"/>
                    <w:left w:w="0" w:type="dxa"/>
                    <w:bottom w:w="150" w:type="dxa"/>
                    <w:right w:w="0" w:type="dxa"/>
                  </w:tcMar>
                  <w:hideMark/>
                </w:tcPr>
                <w:p w:rsidR="003875F4" w:rsidRPr="003875F4" w:rsidRDefault="003875F4" w:rsidP="003875F4">
                  <w:pPr>
                    <w:spacing w:before="80" w:after="0" w:line="240" w:lineRule="atLeast"/>
                    <w:rPr>
                      <w:rFonts w:ascii="Times New Roman" w:eastAsia="Times New Roman" w:hAnsi="Times New Roman" w:cs="Times New Roman"/>
                    </w:rPr>
                  </w:pPr>
                  <w:r w:rsidRPr="003875F4">
                    <w:rPr>
                      <w:rFonts w:ascii="Times New Roman" w:eastAsia="Times New Roman" w:hAnsi="Times New Roman" w:cs="Times New Roman"/>
                    </w:rPr>
                    <w:t xml:space="preserve">WELLS, Judge: This case was heard pursuant to the provisions of section 7463 of the Internal Revenue Code in effect when the petition was filed. </w:t>
                  </w:r>
                  <w:bookmarkStart w:id="3" w:name="footfn#1-reference"/>
                  <w:r w:rsidRPr="003875F4">
                    <w:rPr>
                      <w:rFonts w:ascii="Times New Roman" w:eastAsia="Times New Roman" w:hAnsi="Times New Roman" w:cs="Times New Roman"/>
                      <w:vertAlign w:val="superscript"/>
                    </w:rPr>
                    <w:fldChar w:fldCharType="begin"/>
                  </w:r>
                  <w:r w:rsidRPr="003875F4">
                    <w:rPr>
                      <w:rFonts w:ascii="Times New Roman" w:eastAsia="Times New Roman" w:hAnsi="Times New Roman" w:cs="Times New Roman"/>
                      <w:vertAlign w:val="superscript"/>
                    </w:rPr>
                    <w:instrText xml:space="preserve"> HYPERLINK "http://intelliconnect.cch.com/scion/secure/dps/downloadDocuments?1368398149217&amp;requestIdentifier=1368398149203&amp;cpid=WKUS-TAA-IC" \l "footfn#1" </w:instrText>
                  </w:r>
                  <w:r w:rsidRPr="003875F4">
                    <w:rPr>
                      <w:rFonts w:ascii="Times New Roman" w:eastAsia="Times New Roman" w:hAnsi="Times New Roman" w:cs="Times New Roman"/>
                      <w:vertAlign w:val="superscript"/>
                    </w:rPr>
                    <w:fldChar w:fldCharType="separate"/>
                  </w:r>
                  <w:r w:rsidRPr="003875F4">
                    <w:rPr>
                      <w:rFonts w:ascii="Times New Roman" w:eastAsia="Times New Roman" w:hAnsi="Times New Roman" w:cs="Times New Roman"/>
                      <w:color w:val="0000FF"/>
                      <w:u w:val="single"/>
                      <w:vertAlign w:val="superscript"/>
                    </w:rPr>
                    <w:t>1</w:t>
                  </w:r>
                  <w:r w:rsidRPr="003875F4">
                    <w:rPr>
                      <w:rFonts w:ascii="Times New Roman" w:eastAsia="Times New Roman" w:hAnsi="Times New Roman" w:cs="Times New Roman"/>
                      <w:vertAlign w:val="superscript"/>
                    </w:rPr>
                    <w:fldChar w:fldCharType="end"/>
                  </w:r>
                  <w:bookmarkEnd w:id="3"/>
                  <w:r w:rsidRPr="003875F4">
                    <w:rPr>
                      <w:rFonts w:ascii="Times New Roman" w:eastAsia="Times New Roman" w:hAnsi="Times New Roman" w:cs="Times New Roman"/>
                    </w:rPr>
                    <w:t xml:space="preserve"> Pursuant to section 7463(b), the decision to be entered is not reviewable by any other court, and this opinion shall not be treated as precedent for any other case. Respondent determined a $3,137 deficiency in petitioner's 2007 Federal income tax. After concessions by respondent, the issues we must decide are whether petitioner is entitled to claim dependency exemption deductions for </w:t>
                  </w:r>
                  <w:proofErr w:type="spellStart"/>
                  <w:r w:rsidRPr="003875F4">
                    <w:rPr>
                      <w:rFonts w:ascii="Times New Roman" w:eastAsia="Times New Roman" w:hAnsi="Times New Roman" w:cs="Times New Roman"/>
                    </w:rPr>
                    <w:t>Daquetta</w:t>
                  </w:r>
                  <w:proofErr w:type="spellEnd"/>
                  <w:r w:rsidRPr="003875F4">
                    <w:rPr>
                      <w:rFonts w:ascii="Times New Roman" w:eastAsia="Times New Roman" w:hAnsi="Times New Roman" w:cs="Times New Roman"/>
                    </w:rPr>
                    <w:t xml:space="preserve"> Davis (Ms. Davis) and M.D. and whether petitioner is entitled to the child tax credit for M.D. </w:t>
                  </w:r>
                  <w:bookmarkStart w:id="4" w:name="footfn#2-reference"/>
                  <w:r w:rsidRPr="003875F4">
                    <w:rPr>
                      <w:rFonts w:ascii="Times New Roman" w:eastAsia="Times New Roman" w:hAnsi="Times New Roman" w:cs="Times New Roman"/>
                      <w:vertAlign w:val="superscript"/>
                    </w:rPr>
                    <w:fldChar w:fldCharType="begin"/>
                  </w:r>
                  <w:r w:rsidRPr="003875F4">
                    <w:rPr>
                      <w:rFonts w:ascii="Times New Roman" w:eastAsia="Times New Roman" w:hAnsi="Times New Roman" w:cs="Times New Roman"/>
                      <w:vertAlign w:val="superscript"/>
                    </w:rPr>
                    <w:instrText xml:space="preserve"> HYPERLINK "http://intelliconnect.cch.com/scion/secure/dps/downloadDocuments?1368398149217&amp;requestIdentifier=1368398149203&amp;cpid=WKUS-TAA-IC" \l "footfn#2" </w:instrText>
                  </w:r>
                  <w:r w:rsidRPr="003875F4">
                    <w:rPr>
                      <w:rFonts w:ascii="Times New Roman" w:eastAsia="Times New Roman" w:hAnsi="Times New Roman" w:cs="Times New Roman"/>
                      <w:vertAlign w:val="superscript"/>
                    </w:rPr>
                    <w:fldChar w:fldCharType="separate"/>
                  </w:r>
                  <w:r w:rsidRPr="003875F4">
                    <w:rPr>
                      <w:rFonts w:ascii="Times New Roman" w:eastAsia="Times New Roman" w:hAnsi="Times New Roman" w:cs="Times New Roman"/>
                      <w:color w:val="0000FF"/>
                      <w:u w:val="single"/>
                      <w:vertAlign w:val="superscript"/>
                    </w:rPr>
                    <w:t>2</w:t>
                  </w:r>
                  <w:r w:rsidRPr="003875F4">
                    <w:rPr>
                      <w:rFonts w:ascii="Times New Roman" w:eastAsia="Times New Roman" w:hAnsi="Times New Roman" w:cs="Times New Roman"/>
                      <w:vertAlign w:val="superscript"/>
                    </w:rPr>
                    <w:fldChar w:fldCharType="end"/>
                  </w:r>
                  <w:bookmarkEnd w:id="4"/>
                  <w:r w:rsidRPr="003875F4">
                    <w:rPr>
                      <w:rFonts w:ascii="Times New Roman" w:eastAsia="Times New Roman" w:hAnsi="Times New Roman" w:cs="Times New Roman"/>
                    </w:rPr>
                    <w:t xml:space="preserve"> </w:t>
                  </w:r>
                </w:p>
                <w:p w:rsidR="003875F4" w:rsidRPr="003875F4" w:rsidRDefault="003875F4" w:rsidP="003875F4">
                  <w:pPr>
                    <w:spacing w:before="80" w:after="0" w:line="240" w:lineRule="atLeast"/>
                    <w:jc w:val="center"/>
                    <w:outlineLvl w:val="3"/>
                    <w:rPr>
                      <w:rFonts w:ascii="Times New Roman" w:eastAsia="Times New Roman" w:hAnsi="Times New Roman" w:cs="Times New Roman"/>
                      <w:b/>
                      <w:bCs/>
                    </w:rPr>
                  </w:pPr>
                  <w:r w:rsidRPr="003875F4">
                    <w:rPr>
                      <w:rFonts w:ascii="Times New Roman" w:eastAsia="Times New Roman" w:hAnsi="Times New Roman" w:cs="Times New Roman"/>
                      <w:b/>
                      <w:bCs/>
                      <w:i/>
                      <w:iCs/>
                    </w:rPr>
                    <w:t>Background</w:t>
                  </w:r>
                  <w:r w:rsidRPr="003875F4">
                    <w:rPr>
                      <w:rFonts w:ascii="Times New Roman" w:eastAsia="Times New Roman" w:hAnsi="Times New Roman" w:cs="Times New Roman"/>
                      <w:b/>
                      <w:bCs/>
                    </w:rPr>
                    <w:t xml:space="preserve"> </w:t>
                  </w:r>
                </w:p>
                <w:p w:rsidR="003875F4" w:rsidRPr="003875F4" w:rsidRDefault="003875F4" w:rsidP="003875F4">
                  <w:pPr>
                    <w:spacing w:before="80" w:after="0" w:line="240" w:lineRule="atLeast"/>
                    <w:rPr>
                      <w:rFonts w:ascii="Times New Roman" w:eastAsia="Times New Roman" w:hAnsi="Times New Roman" w:cs="Times New Roman"/>
                    </w:rPr>
                  </w:pPr>
                  <w:r w:rsidRPr="003875F4">
                    <w:rPr>
                      <w:rFonts w:ascii="Times New Roman" w:eastAsia="Times New Roman" w:hAnsi="Times New Roman" w:cs="Times New Roman"/>
                    </w:rPr>
                    <w:t>Some of the facts and certain exhibits have been stipulated. The parties' stipulations of facts are incorporated in this opinion by reference and are found accordingly. At the time he filed his petition, petitioner was a resident of Missouri.</w:t>
                  </w:r>
                </w:p>
                <w:p w:rsidR="003875F4" w:rsidRPr="003875F4" w:rsidRDefault="003875F4" w:rsidP="003875F4">
                  <w:pPr>
                    <w:spacing w:before="80" w:after="0" w:line="240" w:lineRule="atLeast"/>
                    <w:rPr>
                      <w:rFonts w:ascii="Times New Roman" w:eastAsia="Times New Roman" w:hAnsi="Times New Roman" w:cs="Times New Roman"/>
                    </w:rPr>
                  </w:pPr>
                  <w:r w:rsidRPr="003875F4">
                    <w:rPr>
                      <w:rFonts w:ascii="Times New Roman" w:eastAsia="Times New Roman" w:hAnsi="Times New Roman" w:cs="Times New Roman"/>
                    </w:rPr>
                    <w:t>Petitioner timely filed his tax return for 2007, claiming dependency exemption deductions for Ms. Davis and M.D. and a child tax credit for M.D. Ms. Davis is petitioner's niece, and M.D. is Ms. Davis' daughter. At the close of 2007, Ms. Davis was 21 years old and M.D. was 2 years old. Ms. Davis is not married, and petitioner is not sure who is the father of M.D. Petitioner took Ms. Davis and M.D. into his home during January 2007 because they were homeless, and they resided in a spare room in his home until October 2007. Ms. Davis received her certificate of high school equivalence on September 4, 2007. During the period when Ms. Davis and M.D. resided with petitioner, Ms. Davis did not have a job and received no other income.</w:t>
                  </w:r>
                </w:p>
                <w:p w:rsidR="003875F4" w:rsidRPr="003875F4" w:rsidRDefault="003875F4" w:rsidP="003875F4">
                  <w:pPr>
                    <w:spacing w:before="80" w:after="0" w:line="240" w:lineRule="atLeast"/>
                    <w:rPr>
                      <w:rFonts w:ascii="Times New Roman" w:eastAsia="Times New Roman" w:hAnsi="Times New Roman" w:cs="Times New Roman"/>
                    </w:rPr>
                  </w:pPr>
                  <w:r w:rsidRPr="003875F4">
                    <w:rPr>
                      <w:rFonts w:ascii="Times New Roman" w:eastAsia="Times New Roman" w:hAnsi="Times New Roman" w:cs="Times New Roman"/>
                    </w:rPr>
                    <w:t>Respondent issued a notice of deficiency to petitioner, and petitioner timely filed his petition with this Court.</w:t>
                  </w:r>
                </w:p>
                <w:p w:rsidR="003875F4" w:rsidRPr="003875F4" w:rsidRDefault="003875F4" w:rsidP="003875F4">
                  <w:pPr>
                    <w:spacing w:before="80" w:after="0" w:line="240" w:lineRule="atLeast"/>
                    <w:jc w:val="center"/>
                    <w:outlineLvl w:val="3"/>
                    <w:rPr>
                      <w:rFonts w:ascii="Times New Roman" w:eastAsia="Times New Roman" w:hAnsi="Times New Roman" w:cs="Times New Roman"/>
                      <w:b/>
                      <w:bCs/>
                    </w:rPr>
                  </w:pPr>
                  <w:r w:rsidRPr="003875F4">
                    <w:rPr>
                      <w:rFonts w:ascii="Times New Roman" w:eastAsia="Times New Roman" w:hAnsi="Times New Roman" w:cs="Times New Roman"/>
                      <w:b/>
                      <w:bCs/>
                      <w:i/>
                      <w:iCs/>
                    </w:rPr>
                    <w:t>Discussion</w:t>
                  </w:r>
                  <w:r w:rsidRPr="003875F4">
                    <w:rPr>
                      <w:rFonts w:ascii="Times New Roman" w:eastAsia="Times New Roman" w:hAnsi="Times New Roman" w:cs="Times New Roman"/>
                      <w:b/>
                      <w:bCs/>
                    </w:rPr>
                    <w:t xml:space="preserve"> </w:t>
                  </w:r>
                </w:p>
                <w:p w:rsidR="003875F4" w:rsidRPr="003875F4" w:rsidRDefault="003875F4" w:rsidP="003875F4">
                  <w:pPr>
                    <w:spacing w:before="80" w:after="0" w:line="240" w:lineRule="atLeast"/>
                    <w:rPr>
                      <w:rFonts w:ascii="Times New Roman" w:eastAsia="Times New Roman" w:hAnsi="Times New Roman" w:cs="Times New Roman"/>
                    </w:rPr>
                  </w:pPr>
                  <w:r w:rsidRPr="003875F4">
                    <w:rPr>
                      <w:rFonts w:ascii="Times New Roman" w:eastAsia="Times New Roman" w:hAnsi="Times New Roman" w:cs="Times New Roman"/>
                    </w:rPr>
                    <w:t xml:space="preserve">As a general rule, the Commissioner's determinations set forth in a notice of deficiency are presumed correct, and the taxpayer bears the burden of proving otherwise. Rule 142(a); </w:t>
                  </w:r>
                  <w:r w:rsidRPr="003875F4">
                    <w:rPr>
                      <w:rFonts w:ascii="Times New Roman" w:eastAsia="Times New Roman" w:hAnsi="Times New Roman" w:cs="Times New Roman"/>
                      <w:i/>
                      <w:iCs/>
                    </w:rPr>
                    <w:t xml:space="preserve">Welch v. </w:t>
                  </w:r>
                  <w:proofErr w:type="spellStart"/>
                  <w:r w:rsidRPr="003875F4">
                    <w:rPr>
                      <w:rFonts w:ascii="Times New Roman" w:eastAsia="Times New Roman" w:hAnsi="Times New Roman" w:cs="Times New Roman"/>
                      <w:i/>
                      <w:iCs/>
                    </w:rPr>
                    <w:t>Helvering</w:t>
                  </w:r>
                  <w:proofErr w:type="spellEnd"/>
                  <w:r w:rsidRPr="003875F4">
                    <w:rPr>
                      <w:rFonts w:ascii="Times New Roman" w:eastAsia="Times New Roman" w:hAnsi="Times New Roman" w:cs="Times New Roman"/>
                    </w:rPr>
                    <w:t>, 290 U.S. 111, 115 (1933). If the taxpayer satisfies certain substantiation and record keeping requirements, the burden of proof regarding factual matters may shift to the Commissioner. See sec. 7491(a). Petitioner has not contended, and we do not find, that the burden of proof should shift to respondent. See sec. 7491(a)(2)(A) and (B).</w:t>
                  </w:r>
                </w:p>
                <w:p w:rsidR="003875F4" w:rsidRPr="003875F4" w:rsidRDefault="003875F4" w:rsidP="003875F4">
                  <w:pPr>
                    <w:spacing w:before="80" w:after="0" w:line="240" w:lineRule="atLeast"/>
                    <w:rPr>
                      <w:rFonts w:ascii="Times New Roman" w:eastAsia="Times New Roman" w:hAnsi="Times New Roman" w:cs="Times New Roman"/>
                    </w:rPr>
                  </w:pPr>
                  <w:r w:rsidRPr="003875F4">
                    <w:rPr>
                      <w:rFonts w:ascii="Times New Roman" w:eastAsia="Times New Roman" w:hAnsi="Times New Roman" w:cs="Times New Roman"/>
                    </w:rPr>
                    <w:t>A taxpayer may claim a dependency exemption deduction with respect to an individual who is either a “qualifying child” or a “qualifying relative”. Secs. 151(c), 152(a). To be a taxpayer's “qualifying child”, an individual must: (A) Bear a qualifying relationship to the taxpayer; (B) have the same principal place of abode as the taxpayer for more than one-half of the taxable year; (C) meet certain age requirements; and (D) not have provided more than half of his or her own support for the year. Sec. 152(c)(1).</w:t>
                  </w:r>
                </w:p>
                <w:p w:rsidR="003875F4" w:rsidRPr="003875F4" w:rsidRDefault="003875F4" w:rsidP="003875F4">
                  <w:pPr>
                    <w:spacing w:before="80" w:after="0" w:line="240" w:lineRule="atLeast"/>
                    <w:rPr>
                      <w:rFonts w:ascii="Times New Roman" w:eastAsia="Times New Roman" w:hAnsi="Times New Roman" w:cs="Times New Roman"/>
                    </w:rPr>
                  </w:pPr>
                  <w:r w:rsidRPr="006919B2">
                    <w:rPr>
                      <w:rFonts w:ascii="Times New Roman" w:eastAsia="Times New Roman" w:hAnsi="Times New Roman" w:cs="Times New Roman"/>
                      <w:highlight w:val="yellow"/>
                    </w:rPr>
                    <w:lastRenderedPageBreak/>
                    <w:t xml:space="preserve">Additionally, if two or more taxpayers may and do claim the same qualifying child, section 152(c)(4) provides that the child shall be treated as the qualifying child of the parent. </w:t>
                  </w:r>
                  <w:bookmarkStart w:id="5" w:name="footfn#3-reference"/>
                  <w:r w:rsidRPr="006919B2">
                    <w:rPr>
                      <w:rFonts w:ascii="Times New Roman" w:eastAsia="Times New Roman" w:hAnsi="Times New Roman" w:cs="Times New Roman"/>
                      <w:highlight w:val="yellow"/>
                      <w:vertAlign w:val="superscript"/>
                    </w:rPr>
                    <w:fldChar w:fldCharType="begin"/>
                  </w:r>
                  <w:r w:rsidRPr="006919B2">
                    <w:rPr>
                      <w:rFonts w:ascii="Times New Roman" w:eastAsia="Times New Roman" w:hAnsi="Times New Roman" w:cs="Times New Roman"/>
                      <w:highlight w:val="yellow"/>
                      <w:vertAlign w:val="superscript"/>
                    </w:rPr>
                    <w:instrText xml:space="preserve"> HYPERLINK "http://intelliconnect.cch.com/scion/secure/dps/downloadDocuments?1368398149217&amp;requestIdentifier=1368398149203&amp;cpid=WKUS-TAA-IC" \l "footfn#3" </w:instrText>
                  </w:r>
                  <w:r w:rsidRPr="006919B2">
                    <w:rPr>
                      <w:rFonts w:ascii="Times New Roman" w:eastAsia="Times New Roman" w:hAnsi="Times New Roman" w:cs="Times New Roman"/>
                      <w:highlight w:val="yellow"/>
                      <w:vertAlign w:val="superscript"/>
                    </w:rPr>
                    <w:fldChar w:fldCharType="separate"/>
                  </w:r>
                  <w:r w:rsidRPr="006919B2">
                    <w:rPr>
                      <w:rFonts w:ascii="Times New Roman" w:eastAsia="Times New Roman" w:hAnsi="Times New Roman" w:cs="Times New Roman"/>
                      <w:color w:val="0000FF"/>
                      <w:highlight w:val="yellow"/>
                      <w:u w:val="single"/>
                      <w:vertAlign w:val="superscript"/>
                    </w:rPr>
                    <w:t>3</w:t>
                  </w:r>
                  <w:r w:rsidRPr="006919B2">
                    <w:rPr>
                      <w:rFonts w:ascii="Times New Roman" w:eastAsia="Times New Roman" w:hAnsi="Times New Roman" w:cs="Times New Roman"/>
                      <w:highlight w:val="yellow"/>
                      <w:vertAlign w:val="superscript"/>
                    </w:rPr>
                    <w:fldChar w:fldCharType="end"/>
                  </w:r>
                  <w:bookmarkEnd w:id="5"/>
                  <w:r w:rsidRPr="006919B2">
                    <w:rPr>
                      <w:rFonts w:ascii="Times New Roman" w:eastAsia="Times New Roman" w:hAnsi="Times New Roman" w:cs="Times New Roman"/>
                      <w:highlight w:val="yellow"/>
                    </w:rPr>
                    <w:t xml:space="preserve"> However, because Ms. Davis did not claim M.D. as a qualifying child, section 152(c)(4) does not prevent petitioner from claiming M.D. as a qualifying child.</w:t>
                  </w:r>
                </w:p>
                <w:p w:rsidR="003875F4" w:rsidRPr="003875F4" w:rsidRDefault="003875F4" w:rsidP="003875F4">
                  <w:pPr>
                    <w:spacing w:before="80" w:after="0" w:line="240" w:lineRule="atLeast"/>
                    <w:rPr>
                      <w:rFonts w:ascii="Times New Roman" w:eastAsia="Times New Roman" w:hAnsi="Times New Roman" w:cs="Times New Roman"/>
                    </w:rPr>
                  </w:pPr>
                  <w:r w:rsidRPr="003875F4">
                    <w:rPr>
                      <w:rFonts w:ascii="Times New Roman" w:eastAsia="Times New Roman" w:hAnsi="Times New Roman" w:cs="Times New Roman"/>
                    </w:rPr>
                    <w:t xml:space="preserve">An individual bears a qualifying relationship to the taxpayer if that individual is “a brother, sister, stepbrother, or stepsister of the taxpayer or a descendant of any such relative.” Sec. 152(c)(2)(B). </w:t>
                  </w:r>
                  <w:r w:rsidRPr="006919B2">
                    <w:rPr>
                      <w:rFonts w:ascii="Times New Roman" w:eastAsia="Times New Roman" w:hAnsi="Times New Roman" w:cs="Times New Roman"/>
                      <w:highlight w:val="yellow"/>
                    </w:rPr>
                    <w:t>As petitioner's niece and grandniece, Ms. Davis and M.D. meet the relationship requirement. Ms. Davis and M.D. lived with petitioner in a room in his home from January through October 2007, more than half of the year.</w:t>
                  </w:r>
                </w:p>
                <w:p w:rsidR="003875F4" w:rsidRPr="003875F4" w:rsidRDefault="003875F4" w:rsidP="003875F4">
                  <w:pPr>
                    <w:spacing w:before="80" w:after="0" w:line="240" w:lineRule="atLeast"/>
                    <w:rPr>
                      <w:rFonts w:ascii="Times New Roman" w:eastAsia="Times New Roman" w:hAnsi="Times New Roman" w:cs="Times New Roman"/>
                    </w:rPr>
                  </w:pPr>
                  <w:r w:rsidRPr="003875F4">
                    <w:rPr>
                      <w:rFonts w:ascii="Times New Roman" w:eastAsia="Times New Roman" w:hAnsi="Times New Roman" w:cs="Times New Roman"/>
                    </w:rPr>
                    <w:t xml:space="preserve">To meet the age requirement, an individual must be younger than 19 or be a student younger than 24. Sec. 152(c)(3)(A). For purposes of section 152, “student” is defined as an individual who during each of 5 months during the year is a full-time student at an educational institution that normally maintains a regular faculty, curriculum, and enrolled body of students in attendance at the place where educational activities are conducted. Secs. 152(f)(2), 170(b)(1)(A)(ii). </w:t>
                  </w:r>
                  <w:r w:rsidRPr="006919B2">
                    <w:rPr>
                      <w:rFonts w:ascii="Times New Roman" w:eastAsia="Times New Roman" w:hAnsi="Times New Roman" w:cs="Times New Roman"/>
                      <w:highlight w:val="yellow"/>
                    </w:rPr>
                    <w:t>M.D. was 2 at the end of the calendar year and therefore meets the age requirement.</w:t>
                  </w:r>
                  <w:r w:rsidRPr="003875F4">
                    <w:rPr>
                      <w:rFonts w:ascii="Times New Roman" w:eastAsia="Times New Roman" w:hAnsi="Times New Roman" w:cs="Times New Roman"/>
                    </w:rPr>
                    <w:t xml:space="preserve"> Ms. Davis was 21 at the end of the calendar year. Although petitioner offered evidence that Ms. Davis obtained her certificate of high school equivalency during September 2007, he did not offer any evidence that she was a full-time student at a qualified educational institution during at least 5 months of the calendar year. Accordingly, petitioner failed to offer evidence that Ms. Davis met the age requirement under section 152, and he is therefore not entitled to claim Ms. Davis as a qualifying child.</w:t>
                  </w:r>
                </w:p>
                <w:p w:rsidR="003875F4" w:rsidRPr="003875F4" w:rsidRDefault="003875F4" w:rsidP="003875F4">
                  <w:pPr>
                    <w:spacing w:before="80" w:after="0" w:line="240" w:lineRule="atLeast"/>
                    <w:rPr>
                      <w:rFonts w:ascii="Times New Roman" w:eastAsia="Times New Roman" w:hAnsi="Times New Roman" w:cs="Times New Roman"/>
                    </w:rPr>
                  </w:pPr>
                  <w:r w:rsidRPr="003875F4">
                    <w:rPr>
                      <w:rFonts w:ascii="Times New Roman" w:eastAsia="Times New Roman" w:hAnsi="Times New Roman" w:cs="Times New Roman"/>
                    </w:rPr>
                    <w:t>Ms. Davis earned no income during the approximately 10 months she and M.D. lived with petitioner, and petitioner provided for all of M.D.'s needs during that period. Accordingly, petitioner provided more than half of M.D.'s support for the year.</w:t>
                  </w:r>
                </w:p>
                <w:p w:rsidR="003875F4" w:rsidRPr="003875F4" w:rsidRDefault="003875F4" w:rsidP="003875F4">
                  <w:pPr>
                    <w:spacing w:before="80" w:after="0" w:line="240" w:lineRule="atLeast"/>
                    <w:rPr>
                      <w:rFonts w:ascii="Times New Roman" w:eastAsia="Times New Roman" w:hAnsi="Times New Roman" w:cs="Times New Roman"/>
                    </w:rPr>
                  </w:pPr>
                  <w:bookmarkStart w:id="6" w:name="_GoBack"/>
                  <w:bookmarkEnd w:id="6"/>
                  <w:r w:rsidRPr="006919B2">
                    <w:rPr>
                      <w:rFonts w:ascii="Times New Roman" w:eastAsia="Times New Roman" w:hAnsi="Times New Roman" w:cs="Times New Roman"/>
                      <w:highlight w:val="yellow"/>
                    </w:rPr>
                    <w:t>Consequently, M.D. meets the statutory definition of “qualifying child”, and we therefore hold that petitioner was entitled to a dependency exemption deduction for M.D.</w:t>
                  </w:r>
                </w:p>
                <w:p w:rsidR="003875F4" w:rsidRPr="003875F4" w:rsidRDefault="003875F4" w:rsidP="003875F4">
                  <w:pPr>
                    <w:spacing w:before="80" w:after="0" w:line="240" w:lineRule="atLeast"/>
                    <w:rPr>
                      <w:rFonts w:ascii="Times New Roman" w:eastAsia="Times New Roman" w:hAnsi="Times New Roman" w:cs="Times New Roman"/>
                    </w:rPr>
                  </w:pPr>
                  <w:r w:rsidRPr="003875F4">
                    <w:rPr>
                      <w:rFonts w:ascii="Times New Roman" w:eastAsia="Times New Roman" w:hAnsi="Times New Roman" w:cs="Times New Roman"/>
                    </w:rPr>
                    <w:t>An individual who is not a qualifying child may still, under certain conditions, qualify as a dependent if he or she is a qualifying relative. Sec. 152(a). Pursuant to section 152(d)(1), the term “qualifying relative” means an individual: (A) who bears a qualifying relationship to the taxpayer; (B) whose gross income is less than the exemption amount defined in section 151(d); (C) for whom the taxpayer has provided more than one-half of the individual's support; and (D) who is not a qualifying child of the taxpayer or any other taxpayer. For 2007, the exemption amount pursuant to section 151(d) was $3,400. Rev. Proc. 2006-53, sec. 3.18, 2006-2 C.B. 996, 1001.</w:t>
                  </w:r>
                </w:p>
                <w:p w:rsidR="003875F4" w:rsidRPr="006919B2" w:rsidRDefault="003875F4" w:rsidP="003875F4">
                  <w:pPr>
                    <w:spacing w:before="80" w:after="0" w:line="240" w:lineRule="atLeast"/>
                    <w:rPr>
                      <w:rFonts w:ascii="Times New Roman" w:eastAsia="Times New Roman" w:hAnsi="Times New Roman" w:cs="Times New Roman"/>
                      <w:highlight w:val="yellow"/>
                    </w:rPr>
                  </w:pPr>
                  <w:r w:rsidRPr="006919B2">
                    <w:rPr>
                      <w:rFonts w:ascii="Times New Roman" w:eastAsia="Times New Roman" w:hAnsi="Times New Roman" w:cs="Times New Roman"/>
                      <w:highlight w:val="yellow"/>
                    </w:rPr>
                    <w:t>Petitioner offered no evidence regarding the amount of Ms. Davis' gross income during the period when she was not living in his home. Because the burden of proof is on petitioner and he offered no evidence, we conclude that he is not entitled to claim Ms. Davis as a qualifying relative under section 152(d).</w:t>
                  </w:r>
                </w:p>
                <w:p w:rsidR="003875F4" w:rsidRPr="003875F4" w:rsidRDefault="003875F4" w:rsidP="003875F4">
                  <w:pPr>
                    <w:spacing w:before="80" w:after="0" w:line="240" w:lineRule="atLeast"/>
                    <w:rPr>
                      <w:rFonts w:ascii="Times New Roman" w:eastAsia="Times New Roman" w:hAnsi="Times New Roman" w:cs="Times New Roman"/>
                    </w:rPr>
                  </w:pPr>
                  <w:r w:rsidRPr="006919B2">
                    <w:rPr>
                      <w:rFonts w:ascii="Times New Roman" w:eastAsia="Times New Roman" w:hAnsi="Times New Roman" w:cs="Times New Roman"/>
                      <w:highlight w:val="yellow"/>
                    </w:rPr>
                    <w:t>Section 24(a) authorizes a tax credit with respect to each qualifying child of the taxpayer. The term “qualifying child” means a qualifying child of the taxpayer as defined in section 152(c) who has not attained age 17. Sec. 24(c). We have already held that M.D. is a qualifying child, and she was under the age of 17. Accordingly, we hold that petitioner is entitled to the child tax credit for M.D.</w:t>
                  </w:r>
                </w:p>
                <w:p w:rsidR="003875F4" w:rsidRPr="003875F4" w:rsidRDefault="003875F4" w:rsidP="003875F4">
                  <w:pPr>
                    <w:spacing w:before="80" w:after="0" w:line="240" w:lineRule="atLeast"/>
                    <w:rPr>
                      <w:rFonts w:ascii="Times New Roman" w:eastAsia="Times New Roman" w:hAnsi="Times New Roman" w:cs="Times New Roman"/>
                    </w:rPr>
                  </w:pPr>
                  <w:r w:rsidRPr="003875F4">
                    <w:rPr>
                      <w:rFonts w:ascii="Times New Roman" w:eastAsia="Times New Roman" w:hAnsi="Times New Roman" w:cs="Times New Roman"/>
                    </w:rPr>
                    <w:t>In reaching these holdings, we have considered all the parties' arguments, and, to the extent not addressed herein, we conclude that they are moot, irrelevant, or without merit.</w:t>
                  </w:r>
                </w:p>
                <w:p w:rsidR="003875F4" w:rsidRPr="003875F4" w:rsidRDefault="003875F4" w:rsidP="003875F4">
                  <w:pPr>
                    <w:spacing w:before="80" w:after="0" w:line="240" w:lineRule="atLeast"/>
                    <w:rPr>
                      <w:rFonts w:ascii="Times New Roman" w:eastAsia="Times New Roman" w:hAnsi="Times New Roman" w:cs="Times New Roman"/>
                    </w:rPr>
                  </w:pPr>
                  <w:r w:rsidRPr="003875F4">
                    <w:rPr>
                      <w:rFonts w:ascii="Times New Roman" w:eastAsia="Times New Roman" w:hAnsi="Times New Roman" w:cs="Times New Roman"/>
                    </w:rPr>
                    <w:t>To reflect the foregoing and respondent's concessions,</w:t>
                  </w:r>
                </w:p>
                <w:p w:rsidR="003875F4" w:rsidRPr="003875F4" w:rsidRDefault="003875F4" w:rsidP="003875F4">
                  <w:pPr>
                    <w:spacing w:before="80" w:after="0" w:line="240" w:lineRule="atLeast"/>
                    <w:rPr>
                      <w:rFonts w:ascii="Times New Roman" w:eastAsia="Times New Roman" w:hAnsi="Times New Roman" w:cs="Times New Roman"/>
                    </w:rPr>
                  </w:pPr>
                  <w:r w:rsidRPr="003875F4">
                    <w:rPr>
                      <w:rFonts w:ascii="Times New Roman" w:eastAsia="Times New Roman" w:hAnsi="Times New Roman" w:cs="Times New Roman"/>
                      <w:i/>
                      <w:iCs/>
                    </w:rPr>
                    <w:t>Decision will be entered under Rule 155</w:t>
                  </w:r>
                  <w:r w:rsidRPr="003875F4">
                    <w:rPr>
                      <w:rFonts w:ascii="Times New Roman" w:eastAsia="Times New Roman" w:hAnsi="Times New Roman" w:cs="Times New Roman"/>
                    </w:rPr>
                    <w:t>.</w:t>
                  </w:r>
                </w:p>
              </w:tc>
            </w:tr>
          </w:tbl>
          <w:p w:rsidR="003875F4" w:rsidRPr="003875F4" w:rsidRDefault="003875F4" w:rsidP="003875F4">
            <w:pPr>
              <w:spacing w:before="80" w:after="0" w:line="240" w:lineRule="atLeast"/>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9990"/>
            </w:tblGrid>
            <w:tr w:rsidR="003875F4" w:rsidRPr="003875F4" w:rsidTr="003875F4">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0"/>
                    <w:gridCol w:w="9630"/>
                    <w:gridCol w:w="180"/>
                  </w:tblGrid>
                  <w:tr w:rsidR="003875F4" w:rsidRPr="003875F4">
                    <w:trPr>
                      <w:tblCellSpacing w:w="0" w:type="dxa"/>
                    </w:trPr>
                    <w:tc>
                      <w:tcPr>
                        <w:tcW w:w="180" w:type="dxa"/>
                        <w:vAlign w:val="center"/>
                        <w:hideMark/>
                      </w:tcPr>
                      <w:p w:rsidR="003875F4" w:rsidRPr="003875F4" w:rsidRDefault="003875F4" w:rsidP="003875F4">
                        <w:pPr>
                          <w:spacing w:before="80" w:after="0" w:line="240" w:lineRule="atLeast"/>
                          <w:rPr>
                            <w:rFonts w:ascii="Times New Roman" w:eastAsia="Times New Roman" w:hAnsi="Times New Roman" w:cs="Times New Roman"/>
                          </w:rPr>
                        </w:pPr>
                      </w:p>
                    </w:tc>
                    <w:tc>
                      <w:tcPr>
                        <w:tcW w:w="0" w:type="auto"/>
                        <w:vAlign w:val="center"/>
                        <w:hideMark/>
                      </w:tcPr>
                      <w:p w:rsidR="003875F4" w:rsidRPr="003875F4" w:rsidRDefault="003875F4" w:rsidP="003875F4">
                        <w:pPr>
                          <w:spacing w:before="80" w:after="0" w:line="240" w:lineRule="atLeast"/>
                          <w:outlineLvl w:val="1"/>
                          <w:rPr>
                            <w:rFonts w:ascii="Times New Roman" w:eastAsia="Times New Roman" w:hAnsi="Times New Roman" w:cs="Times New Roman"/>
                            <w:b/>
                            <w:bCs/>
                          </w:rPr>
                        </w:pPr>
                        <w:r w:rsidRPr="003875F4">
                          <w:rPr>
                            <w:rFonts w:ascii="Times New Roman" w:eastAsia="Times New Roman" w:hAnsi="Times New Roman" w:cs="Times New Roman"/>
                            <w:b/>
                            <w:bCs/>
                          </w:rPr>
                          <w:t>Footnotes</w:t>
                        </w:r>
                      </w:p>
                    </w:tc>
                    <w:tc>
                      <w:tcPr>
                        <w:tcW w:w="180" w:type="dxa"/>
                        <w:vAlign w:val="center"/>
                        <w:hideMark/>
                      </w:tcPr>
                      <w:p w:rsidR="003875F4" w:rsidRPr="003875F4" w:rsidRDefault="003875F4" w:rsidP="003875F4">
                        <w:pPr>
                          <w:spacing w:before="80" w:after="0" w:line="240" w:lineRule="atLeast"/>
                          <w:rPr>
                            <w:rFonts w:ascii="Times New Roman" w:eastAsia="Times New Roman" w:hAnsi="Times New Roman" w:cs="Times New Roman"/>
                          </w:rPr>
                        </w:pPr>
                      </w:p>
                    </w:tc>
                  </w:tr>
                </w:tbl>
                <w:p w:rsidR="003875F4" w:rsidRPr="003875F4" w:rsidRDefault="003875F4" w:rsidP="003875F4">
                  <w:pPr>
                    <w:spacing w:before="80" w:after="0" w:line="240" w:lineRule="atLeast"/>
                    <w:rPr>
                      <w:rFonts w:ascii="Times New Roman" w:eastAsia="Times New Roman" w:hAnsi="Times New Roman" w:cs="Times New Roman"/>
                    </w:rPr>
                  </w:pPr>
                </w:p>
              </w:tc>
            </w:tr>
            <w:tr w:rsidR="003875F4" w:rsidRPr="003875F4" w:rsidTr="003875F4">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5"/>
                    <w:gridCol w:w="9925"/>
                  </w:tblGrid>
                  <w:tr w:rsidR="003875F4" w:rsidRPr="00D71E9C">
                    <w:trPr>
                      <w:tblCellSpacing w:w="0" w:type="dxa"/>
                    </w:trPr>
                    <w:tc>
                      <w:tcPr>
                        <w:tcW w:w="0" w:type="auto"/>
                        <w:tcMar>
                          <w:top w:w="0" w:type="dxa"/>
                          <w:left w:w="0" w:type="dxa"/>
                          <w:bottom w:w="90" w:type="dxa"/>
                          <w:right w:w="0" w:type="dxa"/>
                        </w:tcMar>
                        <w:hideMark/>
                      </w:tcPr>
                      <w:bookmarkStart w:id="7" w:name="footfn#1"/>
                      <w:p w:rsidR="003875F4" w:rsidRPr="00D71E9C" w:rsidRDefault="003875F4" w:rsidP="003875F4">
                        <w:pPr>
                          <w:spacing w:before="80" w:after="0" w:line="240" w:lineRule="atLeast"/>
                          <w:jc w:val="right"/>
                          <w:rPr>
                            <w:rFonts w:ascii="Times New Roman" w:eastAsia="Times New Roman" w:hAnsi="Times New Roman" w:cs="Times New Roman"/>
                            <w:sz w:val="20"/>
                          </w:rPr>
                        </w:pPr>
                        <w:r w:rsidRPr="00D71E9C">
                          <w:rPr>
                            <w:rFonts w:ascii="Times New Roman" w:eastAsia="Times New Roman" w:hAnsi="Times New Roman" w:cs="Times New Roman"/>
                            <w:sz w:val="20"/>
                            <w:vertAlign w:val="superscript"/>
                          </w:rPr>
                          <w:fldChar w:fldCharType="begin"/>
                        </w:r>
                        <w:r w:rsidRPr="00D71E9C">
                          <w:rPr>
                            <w:rFonts w:ascii="Times New Roman" w:eastAsia="Times New Roman" w:hAnsi="Times New Roman" w:cs="Times New Roman"/>
                            <w:sz w:val="20"/>
                            <w:vertAlign w:val="superscript"/>
                          </w:rPr>
                          <w:instrText xml:space="preserve"> HYPERLINK "http://intelliconnect.cch.com/scion/secure/dps/downloadDocuments?1368398149217&amp;requestIdentifier=1368398149203&amp;cpid=WKUS-TAA-IC" \l "footfn#1-reference" </w:instrText>
                        </w:r>
                        <w:r w:rsidRPr="00D71E9C">
                          <w:rPr>
                            <w:rFonts w:ascii="Times New Roman" w:eastAsia="Times New Roman" w:hAnsi="Times New Roman" w:cs="Times New Roman"/>
                            <w:sz w:val="20"/>
                            <w:vertAlign w:val="superscript"/>
                          </w:rPr>
                          <w:fldChar w:fldCharType="separate"/>
                        </w:r>
                        <w:r w:rsidRPr="00D71E9C">
                          <w:rPr>
                            <w:rFonts w:ascii="Times New Roman" w:eastAsia="Times New Roman" w:hAnsi="Times New Roman" w:cs="Times New Roman"/>
                            <w:color w:val="0000FF"/>
                            <w:sz w:val="20"/>
                            <w:u w:val="single"/>
                            <w:vertAlign w:val="superscript"/>
                          </w:rPr>
                          <w:t>1</w:t>
                        </w:r>
                        <w:r w:rsidRPr="00D71E9C">
                          <w:rPr>
                            <w:rFonts w:ascii="Times New Roman" w:eastAsia="Times New Roman" w:hAnsi="Times New Roman" w:cs="Times New Roman"/>
                            <w:sz w:val="20"/>
                            <w:vertAlign w:val="superscript"/>
                          </w:rPr>
                          <w:fldChar w:fldCharType="end"/>
                        </w:r>
                        <w:bookmarkEnd w:id="7"/>
                      </w:p>
                    </w:tc>
                    <w:tc>
                      <w:tcPr>
                        <w:tcW w:w="0" w:type="auto"/>
                        <w:tcMar>
                          <w:top w:w="0" w:type="dxa"/>
                          <w:left w:w="0" w:type="dxa"/>
                          <w:bottom w:w="90" w:type="dxa"/>
                          <w:right w:w="0" w:type="dxa"/>
                        </w:tcMar>
                        <w:hideMark/>
                      </w:tcPr>
                      <w:p w:rsidR="003875F4" w:rsidRPr="00D71E9C" w:rsidRDefault="003875F4" w:rsidP="003875F4">
                        <w:pPr>
                          <w:spacing w:before="80" w:after="0" w:line="240" w:lineRule="atLeast"/>
                          <w:rPr>
                            <w:rFonts w:ascii="Times New Roman" w:eastAsia="Times New Roman" w:hAnsi="Times New Roman" w:cs="Times New Roman"/>
                            <w:sz w:val="20"/>
                          </w:rPr>
                        </w:pPr>
                        <w:r w:rsidRPr="00D71E9C">
                          <w:rPr>
                            <w:rFonts w:ascii="Times New Roman" w:eastAsia="Times New Roman" w:hAnsi="Times New Roman" w:cs="Times New Roman"/>
                            <w:sz w:val="20"/>
                          </w:rPr>
                          <w:t>Unless otherwise indicated, section references are to the Internal Revenue Code of 1986, as amended, and Rule references are to the Tax Court Rules of Practice and Procedure.</w:t>
                        </w:r>
                      </w:p>
                    </w:tc>
                  </w:tr>
                  <w:bookmarkStart w:id="8" w:name="footfn#2"/>
                  <w:tr w:rsidR="003875F4" w:rsidRPr="00D71E9C">
                    <w:trPr>
                      <w:tblCellSpacing w:w="0" w:type="dxa"/>
                    </w:trPr>
                    <w:tc>
                      <w:tcPr>
                        <w:tcW w:w="0" w:type="auto"/>
                        <w:tcMar>
                          <w:top w:w="0" w:type="dxa"/>
                          <w:left w:w="0" w:type="dxa"/>
                          <w:bottom w:w="90" w:type="dxa"/>
                          <w:right w:w="0" w:type="dxa"/>
                        </w:tcMar>
                        <w:hideMark/>
                      </w:tcPr>
                      <w:p w:rsidR="003875F4" w:rsidRPr="00D71E9C" w:rsidRDefault="003875F4" w:rsidP="003875F4">
                        <w:pPr>
                          <w:spacing w:before="80" w:after="0" w:line="240" w:lineRule="atLeast"/>
                          <w:jc w:val="right"/>
                          <w:rPr>
                            <w:rFonts w:ascii="Times New Roman" w:eastAsia="Times New Roman" w:hAnsi="Times New Roman" w:cs="Times New Roman"/>
                            <w:sz w:val="20"/>
                          </w:rPr>
                        </w:pPr>
                        <w:r w:rsidRPr="00D71E9C">
                          <w:rPr>
                            <w:rFonts w:ascii="Times New Roman" w:eastAsia="Times New Roman" w:hAnsi="Times New Roman" w:cs="Times New Roman"/>
                            <w:sz w:val="20"/>
                            <w:vertAlign w:val="superscript"/>
                          </w:rPr>
                          <w:fldChar w:fldCharType="begin"/>
                        </w:r>
                        <w:r w:rsidRPr="00D71E9C">
                          <w:rPr>
                            <w:rFonts w:ascii="Times New Roman" w:eastAsia="Times New Roman" w:hAnsi="Times New Roman" w:cs="Times New Roman"/>
                            <w:sz w:val="20"/>
                            <w:vertAlign w:val="superscript"/>
                          </w:rPr>
                          <w:instrText xml:space="preserve"> HYPERLINK "http://intelliconnect.cch.com/scion/secure/dps/downloadDocuments?1368398149217&amp;requestIdentifier=1368398149203&amp;cpid=WKUS-TAA-IC" \l "footfn#2-reference" </w:instrText>
                        </w:r>
                        <w:r w:rsidRPr="00D71E9C">
                          <w:rPr>
                            <w:rFonts w:ascii="Times New Roman" w:eastAsia="Times New Roman" w:hAnsi="Times New Roman" w:cs="Times New Roman"/>
                            <w:sz w:val="20"/>
                            <w:vertAlign w:val="superscript"/>
                          </w:rPr>
                          <w:fldChar w:fldCharType="separate"/>
                        </w:r>
                        <w:r w:rsidRPr="00D71E9C">
                          <w:rPr>
                            <w:rFonts w:ascii="Times New Roman" w:eastAsia="Times New Roman" w:hAnsi="Times New Roman" w:cs="Times New Roman"/>
                            <w:color w:val="0000FF"/>
                            <w:sz w:val="20"/>
                            <w:u w:val="single"/>
                            <w:vertAlign w:val="superscript"/>
                          </w:rPr>
                          <w:t>2</w:t>
                        </w:r>
                        <w:r w:rsidRPr="00D71E9C">
                          <w:rPr>
                            <w:rFonts w:ascii="Times New Roman" w:eastAsia="Times New Roman" w:hAnsi="Times New Roman" w:cs="Times New Roman"/>
                            <w:sz w:val="20"/>
                            <w:vertAlign w:val="superscript"/>
                          </w:rPr>
                          <w:fldChar w:fldCharType="end"/>
                        </w:r>
                        <w:bookmarkEnd w:id="8"/>
                      </w:p>
                    </w:tc>
                    <w:tc>
                      <w:tcPr>
                        <w:tcW w:w="0" w:type="auto"/>
                        <w:tcMar>
                          <w:top w:w="0" w:type="dxa"/>
                          <w:left w:w="0" w:type="dxa"/>
                          <w:bottom w:w="90" w:type="dxa"/>
                          <w:right w:w="0" w:type="dxa"/>
                        </w:tcMar>
                        <w:hideMark/>
                      </w:tcPr>
                      <w:p w:rsidR="003875F4" w:rsidRPr="00D71E9C" w:rsidRDefault="003875F4" w:rsidP="003875F4">
                        <w:pPr>
                          <w:spacing w:before="80" w:after="0" w:line="240" w:lineRule="atLeast"/>
                          <w:rPr>
                            <w:rFonts w:ascii="Times New Roman" w:eastAsia="Times New Roman" w:hAnsi="Times New Roman" w:cs="Times New Roman"/>
                            <w:sz w:val="20"/>
                          </w:rPr>
                        </w:pPr>
                        <w:r w:rsidRPr="00D71E9C">
                          <w:rPr>
                            <w:rFonts w:ascii="Times New Roman" w:eastAsia="Times New Roman" w:hAnsi="Times New Roman" w:cs="Times New Roman"/>
                            <w:sz w:val="20"/>
                          </w:rPr>
                          <w:t>The Court refers to minor children by their initials. See Rule 27(a)(3).</w:t>
                        </w:r>
                      </w:p>
                    </w:tc>
                  </w:tr>
                  <w:bookmarkStart w:id="9" w:name="footfn#3"/>
                  <w:tr w:rsidR="003875F4" w:rsidRPr="00D71E9C">
                    <w:trPr>
                      <w:tblCellSpacing w:w="0" w:type="dxa"/>
                    </w:trPr>
                    <w:tc>
                      <w:tcPr>
                        <w:tcW w:w="0" w:type="auto"/>
                        <w:tcMar>
                          <w:top w:w="0" w:type="dxa"/>
                          <w:left w:w="0" w:type="dxa"/>
                          <w:bottom w:w="90" w:type="dxa"/>
                          <w:right w:w="0" w:type="dxa"/>
                        </w:tcMar>
                        <w:hideMark/>
                      </w:tcPr>
                      <w:p w:rsidR="003875F4" w:rsidRPr="00D71E9C" w:rsidRDefault="003875F4" w:rsidP="003875F4">
                        <w:pPr>
                          <w:spacing w:before="80" w:after="0" w:line="240" w:lineRule="atLeast"/>
                          <w:jc w:val="right"/>
                          <w:rPr>
                            <w:rFonts w:ascii="Times New Roman" w:eastAsia="Times New Roman" w:hAnsi="Times New Roman" w:cs="Times New Roman"/>
                            <w:sz w:val="20"/>
                          </w:rPr>
                        </w:pPr>
                        <w:r w:rsidRPr="00D71E9C">
                          <w:rPr>
                            <w:rFonts w:ascii="Times New Roman" w:eastAsia="Times New Roman" w:hAnsi="Times New Roman" w:cs="Times New Roman"/>
                            <w:sz w:val="20"/>
                            <w:vertAlign w:val="superscript"/>
                          </w:rPr>
                          <w:fldChar w:fldCharType="begin"/>
                        </w:r>
                        <w:r w:rsidRPr="00D71E9C">
                          <w:rPr>
                            <w:rFonts w:ascii="Times New Roman" w:eastAsia="Times New Roman" w:hAnsi="Times New Roman" w:cs="Times New Roman"/>
                            <w:sz w:val="20"/>
                            <w:vertAlign w:val="superscript"/>
                          </w:rPr>
                          <w:instrText xml:space="preserve"> HYPERLINK "http://intelliconnect.cch.com/scion/secure/dps/downloadDocuments?1368398149217&amp;requestIdentifier=1368398149203&amp;cpid=WKUS-TAA-IC" \l "footfn#3-reference" </w:instrText>
                        </w:r>
                        <w:r w:rsidRPr="00D71E9C">
                          <w:rPr>
                            <w:rFonts w:ascii="Times New Roman" w:eastAsia="Times New Roman" w:hAnsi="Times New Roman" w:cs="Times New Roman"/>
                            <w:sz w:val="20"/>
                            <w:vertAlign w:val="superscript"/>
                          </w:rPr>
                          <w:fldChar w:fldCharType="separate"/>
                        </w:r>
                        <w:r w:rsidRPr="00D71E9C">
                          <w:rPr>
                            <w:rFonts w:ascii="Times New Roman" w:eastAsia="Times New Roman" w:hAnsi="Times New Roman" w:cs="Times New Roman"/>
                            <w:color w:val="0000FF"/>
                            <w:sz w:val="20"/>
                            <w:u w:val="single"/>
                            <w:vertAlign w:val="superscript"/>
                          </w:rPr>
                          <w:t>3</w:t>
                        </w:r>
                        <w:r w:rsidRPr="00D71E9C">
                          <w:rPr>
                            <w:rFonts w:ascii="Times New Roman" w:eastAsia="Times New Roman" w:hAnsi="Times New Roman" w:cs="Times New Roman"/>
                            <w:sz w:val="20"/>
                            <w:vertAlign w:val="superscript"/>
                          </w:rPr>
                          <w:fldChar w:fldCharType="end"/>
                        </w:r>
                        <w:bookmarkEnd w:id="9"/>
                      </w:p>
                    </w:tc>
                    <w:tc>
                      <w:tcPr>
                        <w:tcW w:w="0" w:type="auto"/>
                        <w:tcMar>
                          <w:top w:w="0" w:type="dxa"/>
                          <w:left w:w="0" w:type="dxa"/>
                          <w:bottom w:w="90" w:type="dxa"/>
                          <w:right w:w="0" w:type="dxa"/>
                        </w:tcMar>
                        <w:hideMark/>
                      </w:tcPr>
                      <w:p w:rsidR="003875F4" w:rsidRPr="00D71E9C" w:rsidRDefault="003875F4" w:rsidP="003875F4">
                        <w:pPr>
                          <w:spacing w:before="80" w:after="0" w:line="240" w:lineRule="atLeast"/>
                          <w:rPr>
                            <w:rFonts w:ascii="Times New Roman" w:eastAsia="Times New Roman" w:hAnsi="Times New Roman" w:cs="Times New Roman"/>
                            <w:sz w:val="20"/>
                          </w:rPr>
                        </w:pPr>
                        <w:r w:rsidRPr="00D71E9C">
                          <w:rPr>
                            <w:rFonts w:ascii="Times New Roman" w:eastAsia="Times New Roman" w:hAnsi="Times New Roman" w:cs="Times New Roman"/>
                            <w:sz w:val="20"/>
                          </w:rPr>
                          <w:t xml:space="preserve">For tax years beginning after Dec. 31, 2008, the statute has been amended to provide that if an individual may be claimed as a qualifying child by two or more taxpayers for a tax year beginning during the same calendar year, such individual shall </w:t>
                        </w:r>
                        <w:r w:rsidRPr="00D71E9C">
                          <w:rPr>
                            <w:rFonts w:ascii="Times New Roman" w:eastAsia="Times New Roman" w:hAnsi="Times New Roman" w:cs="Times New Roman"/>
                            <w:sz w:val="20"/>
                          </w:rPr>
                          <w:lastRenderedPageBreak/>
                          <w:t>be treated as the qualifying child of the taxpayer who is the parent of the individual. The amendment removed the requirement that the child “may be and is claimed” by two or more taxpayers. Fostering Connections to Success and Increasing Adoptions Act of 2008, Pub. L. 110-351, sec. 501(c)(2)(B)(</w:t>
                        </w:r>
                        <w:proofErr w:type="spellStart"/>
                        <w:r w:rsidRPr="00D71E9C">
                          <w:rPr>
                            <w:rFonts w:ascii="Times New Roman" w:eastAsia="Times New Roman" w:hAnsi="Times New Roman" w:cs="Times New Roman"/>
                            <w:sz w:val="20"/>
                          </w:rPr>
                          <w:t>i</w:t>
                        </w:r>
                        <w:proofErr w:type="spellEnd"/>
                        <w:r w:rsidRPr="00D71E9C">
                          <w:rPr>
                            <w:rFonts w:ascii="Times New Roman" w:eastAsia="Times New Roman" w:hAnsi="Times New Roman" w:cs="Times New Roman"/>
                            <w:sz w:val="20"/>
                          </w:rPr>
                          <w:t>), 122 Stat. 3980.</w:t>
                        </w:r>
                      </w:p>
                    </w:tc>
                  </w:tr>
                </w:tbl>
                <w:p w:rsidR="003875F4" w:rsidRPr="003875F4" w:rsidRDefault="003875F4" w:rsidP="003875F4">
                  <w:pPr>
                    <w:spacing w:before="80" w:after="0" w:line="240" w:lineRule="atLeast"/>
                    <w:rPr>
                      <w:rFonts w:ascii="Times New Roman" w:eastAsia="Times New Roman" w:hAnsi="Times New Roman" w:cs="Times New Roman"/>
                    </w:rPr>
                  </w:pPr>
                </w:p>
              </w:tc>
            </w:tr>
          </w:tbl>
          <w:p w:rsidR="003875F4" w:rsidRPr="003875F4" w:rsidRDefault="003875F4" w:rsidP="003875F4">
            <w:pPr>
              <w:spacing w:before="80" w:after="0" w:line="240" w:lineRule="atLeast"/>
              <w:rPr>
                <w:rFonts w:ascii="Times New Roman" w:eastAsia="Times New Roman" w:hAnsi="Times New Roman" w:cs="Times New Roman"/>
              </w:rPr>
            </w:pPr>
          </w:p>
        </w:tc>
      </w:tr>
    </w:tbl>
    <w:p w:rsidR="00625BCE" w:rsidRPr="003875F4" w:rsidRDefault="00625BCE" w:rsidP="00D71E9C">
      <w:pPr>
        <w:spacing w:before="80" w:after="0" w:line="240" w:lineRule="atLeast"/>
        <w:rPr>
          <w:rFonts w:ascii="Times New Roman" w:hAnsi="Times New Roman" w:cs="Times New Roman"/>
        </w:rPr>
      </w:pPr>
    </w:p>
    <w:sectPr w:rsidR="00625BCE" w:rsidRPr="003875F4" w:rsidSect="00727FDE">
      <w:footerReference w:type="default" r:id="rId6"/>
      <w:pgSz w:w="12240" w:h="15840" w:code="1"/>
      <w:pgMar w:top="720" w:right="1008" w:bottom="720"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A76" w:rsidRDefault="00D65A76" w:rsidP="00727FDE">
      <w:pPr>
        <w:spacing w:after="0" w:line="240" w:lineRule="auto"/>
      </w:pPr>
      <w:r>
        <w:separator/>
      </w:r>
    </w:p>
  </w:endnote>
  <w:endnote w:type="continuationSeparator" w:id="0">
    <w:p w:rsidR="00D65A76" w:rsidRDefault="00D65A76" w:rsidP="0072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DE" w:rsidRDefault="00D65A76">
    <w:pPr>
      <w:pStyle w:val="Footer"/>
    </w:pPr>
    <w:r>
      <w:fldChar w:fldCharType="begin"/>
    </w:r>
    <w:r>
      <w:instrText xml:space="preserve"> FILENAME   \* MERGEFORMAT </w:instrText>
    </w:r>
    <w:r>
      <w:fldChar w:fldCharType="separate"/>
    </w:r>
    <w:r w:rsidR="00727FDE">
      <w:rPr>
        <w:noProof/>
      </w:rPr>
      <w:t>Shereal Wallace-Exemption</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A76" w:rsidRDefault="00D65A76" w:rsidP="00727FDE">
      <w:pPr>
        <w:spacing w:after="0" w:line="240" w:lineRule="auto"/>
      </w:pPr>
      <w:r>
        <w:separator/>
      </w:r>
    </w:p>
  </w:footnote>
  <w:footnote w:type="continuationSeparator" w:id="0">
    <w:p w:rsidR="00D65A76" w:rsidRDefault="00D65A76" w:rsidP="00727F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D8ECBCC-AEFE-4DC4-879A-C7FCA8CA742C}"/>
    <w:docVar w:name="dgnword-eventsink" w:val="94951216"/>
  </w:docVars>
  <w:rsids>
    <w:rsidRoot w:val="003875F4"/>
    <w:rsid w:val="000E24F8"/>
    <w:rsid w:val="00197B57"/>
    <w:rsid w:val="0032148E"/>
    <w:rsid w:val="00325FDC"/>
    <w:rsid w:val="003875F4"/>
    <w:rsid w:val="00473679"/>
    <w:rsid w:val="0048738F"/>
    <w:rsid w:val="004B2583"/>
    <w:rsid w:val="004F3BF9"/>
    <w:rsid w:val="0055038D"/>
    <w:rsid w:val="00625BCE"/>
    <w:rsid w:val="006919B2"/>
    <w:rsid w:val="006F42D9"/>
    <w:rsid w:val="00727FDE"/>
    <w:rsid w:val="00796F1C"/>
    <w:rsid w:val="00926EA8"/>
    <w:rsid w:val="009A7308"/>
    <w:rsid w:val="00B62B0C"/>
    <w:rsid w:val="00B954C4"/>
    <w:rsid w:val="00C176B6"/>
    <w:rsid w:val="00CE471E"/>
    <w:rsid w:val="00CF4554"/>
    <w:rsid w:val="00D33463"/>
    <w:rsid w:val="00D50E9C"/>
    <w:rsid w:val="00D65A76"/>
    <w:rsid w:val="00D71E9C"/>
    <w:rsid w:val="00D934FA"/>
    <w:rsid w:val="00D944F0"/>
    <w:rsid w:val="00ED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7C682-3E22-493B-80BA-D0D59F70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3875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875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875F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5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875F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875F4"/>
    <w:rPr>
      <w:rFonts w:ascii="Times New Roman" w:eastAsia="Times New Roman" w:hAnsi="Times New Roman" w:cs="Times New Roman"/>
      <w:b/>
      <w:bCs/>
      <w:sz w:val="24"/>
      <w:szCs w:val="24"/>
    </w:rPr>
  </w:style>
  <w:style w:type="paragraph" w:customStyle="1" w:styleId="hp">
    <w:name w:val="hp"/>
    <w:basedOn w:val="Normal"/>
    <w:rsid w:val="00387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
    <w:name w:val="link"/>
    <w:basedOn w:val="DefaultParagraphFont"/>
    <w:rsid w:val="003875F4"/>
  </w:style>
  <w:style w:type="paragraph" w:styleId="NormalWeb">
    <w:name w:val="Normal (Web)"/>
    <w:basedOn w:val="Normal"/>
    <w:uiPriority w:val="99"/>
    <w:semiHidden/>
    <w:unhideWhenUsed/>
    <w:rsid w:val="003875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75F4"/>
    <w:rPr>
      <w:color w:val="0000FF"/>
      <w:u w:val="single"/>
    </w:rPr>
  </w:style>
  <w:style w:type="character" w:customStyle="1" w:styleId="docheadspacer">
    <w:name w:val="docheadspacer"/>
    <w:basedOn w:val="DefaultParagraphFont"/>
    <w:rsid w:val="003875F4"/>
  </w:style>
  <w:style w:type="paragraph" w:styleId="Header">
    <w:name w:val="header"/>
    <w:basedOn w:val="Normal"/>
    <w:link w:val="HeaderChar"/>
    <w:uiPriority w:val="99"/>
    <w:unhideWhenUsed/>
    <w:rsid w:val="0072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FDE"/>
  </w:style>
  <w:style w:type="paragraph" w:styleId="Footer">
    <w:name w:val="footer"/>
    <w:basedOn w:val="Normal"/>
    <w:link w:val="FooterChar"/>
    <w:uiPriority w:val="99"/>
    <w:unhideWhenUsed/>
    <w:rsid w:val="0072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72618">
      <w:marLeft w:val="0"/>
      <w:marRight w:val="0"/>
      <w:marTop w:val="0"/>
      <w:marBottom w:val="0"/>
      <w:divBdr>
        <w:top w:val="none" w:sz="0" w:space="0" w:color="auto"/>
        <w:left w:val="none" w:sz="0" w:space="0" w:color="auto"/>
        <w:bottom w:val="none" w:sz="0" w:space="0" w:color="auto"/>
        <w:right w:val="none" w:sz="0" w:space="0" w:color="auto"/>
      </w:divBdr>
      <w:divsChild>
        <w:div w:id="1663315608">
          <w:marLeft w:val="0"/>
          <w:marRight w:val="0"/>
          <w:marTop w:val="0"/>
          <w:marBottom w:val="0"/>
          <w:divBdr>
            <w:top w:val="none" w:sz="0" w:space="0" w:color="auto"/>
            <w:left w:val="none" w:sz="0" w:space="0" w:color="auto"/>
            <w:bottom w:val="none" w:sz="0" w:space="0" w:color="auto"/>
            <w:right w:val="none" w:sz="0" w:space="0" w:color="auto"/>
          </w:divBdr>
          <w:divsChild>
            <w:div w:id="1118331122">
              <w:marLeft w:val="0"/>
              <w:marRight w:val="0"/>
              <w:marTop w:val="0"/>
              <w:marBottom w:val="0"/>
              <w:divBdr>
                <w:top w:val="none" w:sz="0" w:space="0" w:color="auto"/>
                <w:left w:val="none" w:sz="0" w:space="0" w:color="auto"/>
                <w:bottom w:val="none" w:sz="0" w:space="0" w:color="auto"/>
                <w:right w:val="none" w:sz="0" w:space="0" w:color="auto"/>
              </w:divBdr>
              <w:divsChild>
                <w:div w:id="1867870117">
                  <w:marLeft w:val="0"/>
                  <w:marRight w:val="0"/>
                  <w:marTop w:val="0"/>
                  <w:marBottom w:val="0"/>
                  <w:divBdr>
                    <w:top w:val="none" w:sz="0" w:space="0" w:color="auto"/>
                    <w:left w:val="none" w:sz="0" w:space="0" w:color="auto"/>
                    <w:bottom w:val="none" w:sz="0" w:space="0" w:color="auto"/>
                    <w:right w:val="none" w:sz="0" w:space="0" w:color="auto"/>
                  </w:divBdr>
                </w:div>
              </w:divsChild>
            </w:div>
            <w:div w:id="1167595877">
              <w:marLeft w:val="0"/>
              <w:marRight w:val="0"/>
              <w:marTop w:val="0"/>
              <w:marBottom w:val="0"/>
              <w:divBdr>
                <w:top w:val="none" w:sz="0" w:space="0" w:color="auto"/>
                <w:left w:val="none" w:sz="0" w:space="0" w:color="auto"/>
                <w:bottom w:val="none" w:sz="0" w:space="0" w:color="auto"/>
                <w:right w:val="none" w:sz="0" w:space="0" w:color="auto"/>
              </w:divBdr>
              <w:divsChild>
                <w:div w:id="1139881953">
                  <w:marLeft w:val="0"/>
                  <w:marRight w:val="0"/>
                  <w:marTop w:val="0"/>
                  <w:marBottom w:val="0"/>
                  <w:divBdr>
                    <w:top w:val="none" w:sz="0" w:space="0" w:color="auto"/>
                    <w:left w:val="none" w:sz="0" w:space="0" w:color="auto"/>
                    <w:bottom w:val="none" w:sz="0" w:space="0" w:color="auto"/>
                    <w:right w:val="none" w:sz="0" w:space="0" w:color="auto"/>
                  </w:divBdr>
                  <w:divsChild>
                    <w:div w:id="11081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HowardGodfrey</dc:creator>
  <cp:lastModifiedBy>hgodfrey@uncc.edu</cp:lastModifiedBy>
  <cp:revision>3</cp:revision>
  <cp:lastPrinted>2014-03-17T01:38:00Z</cp:lastPrinted>
  <dcterms:created xsi:type="dcterms:W3CDTF">2016-06-06T12:56:00Z</dcterms:created>
  <dcterms:modified xsi:type="dcterms:W3CDTF">2016-06-06T12:59:00Z</dcterms:modified>
</cp:coreProperties>
</file>