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4A8" w:rsidRPr="000764A8" w:rsidRDefault="000764A8" w:rsidP="001B3DD4">
      <w:pPr>
        <w:shd w:val="clear" w:color="auto" w:fill="FFFFFF"/>
        <w:spacing w:before="120" w:after="0" w:line="280" w:lineRule="atLeast"/>
        <w:outlineLvl w:val="1"/>
        <w:rPr>
          <w:rFonts w:eastAsia="Times New Roman" w:cstheme="minorHAnsi"/>
          <w:color w:val="000000"/>
          <w:sz w:val="26"/>
          <w:szCs w:val="26"/>
        </w:rPr>
      </w:pPr>
      <w:r w:rsidRPr="000764A8">
        <w:rPr>
          <w:rFonts w:eastAsia="Times New Roman" w:cstheme="minorHAnsi"/>
          <w:b/>
          <w:bCs/>
          <w:color w:val="000000"/>
          <w:sz w:val="26"/>
          <w:szCs w:val="26"/>
        </w:rPr>
        <w:t>Undistributed Part</w:t>
      </w:r>
      <w:r w:rsidR="0063391B">
        <w:rPr>
          <w:rFonts w:eastAsia="Times New Roman" w:cstheme="minorHAnsi"/>
          <w:b/>
          <w:bCs/>
          <w:color w:val="000000"/>
          <w:sz w:val="26"/>
          <w:szCs w:val="26"/>
        </w:rPr>
        <w:t>nership Profits Allocated To a</w:t>
      </w:r>
      <w:r w:rsidRPr="000764A8">
        <w:rPr>
          <w:rFonts w:eastAsia="Times New Roman" w:cstheme="minorHAnsi"/>
          <w:b/>
          <w:bCs/>
          <w:color w:val="000000"/>
          <w:sz w:val="26"/>
          <w:szCs w:val="26"/>
        </w:rPr>
        <w:t xml:space="preserve"> Non</w:t>
      </w:r>
      <w:r w:rsidR="0063391B">
        <w:rPr>
          <w:rFonts w:eastAsia="Times New Roman" w:cstheme="minorHAnsi"/>
          <w:b/>
          <w:bCs/>
          <w:color w:val="000000"/>
          <w:sz w:val="26"/>
          <w:szCs w:val="26"/>
        </w:rPr>
        <w:t>-</w:t>
      </w:r>
      <w:r w:rsidRPr="000764A8">
        <w:rPr>
          <w:rFonts w:eastAsia="Times New Roman" w:cstheme="minorHAnsi"/>
          <w:b/>
          <w:bCs/>
          <w:color w:val="000000"/>
          <w:sz w:val="26"/>
          <w:szCs w:val="26"/>
        </w:rPr>
        <w:t>vested Partnership Interest</w:t>
      </w:r>
      <w:r w:rsidR="001B3DD4">
        <w:rPr>
          <w:rFonts w:eastAsia="Times New Roman" w:cstheme="minorHAnsi"/>
          <w:b/>
          <w:bCs/>
          <w:color w:val="000000"/>
          <w:sz w:val="26"/>
          <w:szCs w:val="26"/>
        </w:rPr>
        <w:t xml:space="preserve">.   </w:t>
      </w:r>
      <w:r w:rsidR="0063391B">
        <w:rPr>
          <w:rFonts w:eastAsia="Times New Roman" w:cstheme="minorHAnsi"/>
          <w:b/>
          <w:bCs/>
          <w:color w:val="000000"/>
          <w:sz w:val="26"/>
          <w:szCs w:val="26"/>
        </w:rPr>
        <w:br/>
      </w:r>
      <w:r w:rsidRPr="000764A8">
        <w:rPr>
          <w:rFonts w:eastAsia="Times New Roman" w:cstheme="minorHAnsi"/>
          <w:i/>
          <w:iCs/>
          <w:color w:val="000000"/>
          <w:sz w:val="26"/>
          <w:szCs w:val="26"/>
        </w:rPr>
        <w:t>Crescent Holdings, LLC, 141 TC No. 15</w:t>
      </w:r>
    </w:p>
    <w:p w:rsidR="001B3DD4" w:rsidRPr="001B3DD4" w:rsidRDefault="001B3DD4" w:rsidP="001B3DD4">
      <w:pPr>
        <w:shd w:val="clear" w:color="auto" w:fill="FFFFFF"/>
        <w:spacing w:before="120" w:after="0" w:line="280" w:lineRule="atLeast"/>
        <w:rPr>
          <w:rFonts w:eastAsia="Times New Roman" w:cstheme="minorHAnsi"/>
          <w:color w:val="000000"/>
          <w:sz w:val="26"/>
          <w:szCs w:val="26"/>
        </w:rPr>
        <w:sectPr w:rsidR="001B3DD4" w:rsidRPr="001B3DD4" w:rsidSect="009067B6">
          <w:footerReference w:type="default" r:id="rId7"/>
          <w:pgSz w:w="12240" w:h="15840"/>
          <w:pgMar w:top="720" w:right="720" w:bottom="720" w:left="864" w:header="720" w:footer="720" w:gutter="0"/>
          <w:cols w:space="720"/>
          <w:docGrid w:linePitch="360"/>
        </w:sectPr>
      </w:pPr>
    </w:p>
    <w:p w:rsidR="000764A8" w:rsidRPr="000764A8" w:rsidRDefault="000764A8" w:rsidP="001B3DD4">
      <w:pPr>
        <w:shd w:val="clear" w:color="auto" w:fill="FFFFFF"/>
        <w:spacing w:before="120" w:after="0" w:line="280" w:lineRule="atLeast"/>
        <w:rPr>
          <w:rFonts w:eastAsia="Times New Roman" w:cstheme="minorHAnsi"/>
          <w:color w:val="000000"/>
          <w:sz w:val="26"/>
          <w:szCs w:val="26"/>
        </w:rPr>
      </w:pPr>
      <w:r w:rsidRPr="000764A8">
        <w:rPr>
          <w:rFonts w:eastAsia="Times New Roman" w:cstheme="minorHAnsi"/>
          <w:color w:val="000000"/>
          <w:sz w:val="26"/>
          <w:szCs w:val="26"/>
        </w:rPr>
        <w:t xml:space="preserve">The </w:t>
      </w:r>
      <w:proofErr w:type="spellStart"/>
      <w:r w:rsidRPr="000764A8">
        <w:rPr>
          <w:rFonts w:eastAsia="Times New Roman" w:cstheme="minorHAnsi"/>
          <w:color w:val="000000"/>
          <w:sz w:val="26"/>
          <w:szCs w:val="26"/>
        </w:rPr>
        <w:t>regs</w:t>
      </w:r>
      <w:proofErr w:type="spellEnd"/>
      <w:r w:rsidRPr="000764A8">
        <w:rPr>
          <w:rFonts w:eastAsia="Times New Roman" w:cstheme="minorHAnsi"/>
          <w:color w:val="000000"/>
          <w:sz w:val="26"/>
          <w:szCs w:val="26"/>
        </w:rPr>
        <w:t xml:space="preserve"> under</w:t>
      </w:r>
      <w:r w:rsidRPr="001B3DD4">
        <w:rPr>
          <w:rFonts w:eastAsia="Times New Roman" w:cstheme="minorHAnsi"/>
          <w:color w:val="000000"/>
          <w:sz w:val="26"/>
          <w:szCs w:val="26"/>
        </w:rPr>
        <w:t> </w:t>
      </w:r>
      <w:hyperlink r:id="rId8" w:history="1">
        <w:r w:rsidRPr="001B3DD4">
          <w:rPr>
            <w:rFonts w:eastAsia="Times New Roman" w:cstheme="minorHAnsi"/>
            <w:color w:val="0000CC"/>
            <w:sz w:val="26"/>
            <w:szCs w:val="26"/>
            <w:u w:val="single"/>
          </w:rPr>
          <w:t>Code Sec. 83</w:t>
        </w:r>
      </w:hyperlink>
      <w:r w:rsidRPr="001B3DD4">
        <w:rPr>
          <w:rFonts w:eastAsia="Times New Roman" w:cstheme="minorHAnsi"/>
          <w:color w:val="000000"/>
          <w:sz w:val="26"/>
          <w:szCs w:val="26"/>
        </w:rPr>
        <w:t> </w:t>
      </w:r>
      <w:r w:rsidRPr="000764A8">
        <w:rPr>
          <w:rFonts w:eastAsia="Times New Roman" w:cstheme="minorHAnsi"/>
          <w:color w:val="000000"/>
          <w:sz w:val="26"/>
          <w:szCs w:val="26"/>
        </w:rPr>
        <w:t>are clear that a distribution of profits on a non</w:t>
      </w:r>
      <w:r w:rsidR="0063391B">
        <w:rPr>
          <w:rFonts w:eastAsia="Times New Roman" w:cstheme="minorHAnsi"/>
          <w:color w:val="000000"/>
          <w:sz w:val="26"/>
          <w:szCs w:val="26"/>
        </w:rPr>
        <w:t>-</w:t>
      </w:r>
      <w:r w:rsidRPr="000764A8">
        <w:rPr>
          <w:rFonts w:eastAsia="Times New Roman" w:cstheme="minorHAnsi"/>
          <w:color w:val="000000"/>
          <w:sz w:val="26"/>
          <w:szCs w:val="26"/>
        </w:rPr>
        <w:t>vested partnership interest is taxable as compensation under</w:t>
      </w:r>
      <w:r w:rsidRPr="001B3DD4">
        <w:rPr>
          <w:rFonts w:eastAsia="Times New Roman" w:cstheme="minorHAnsi"/>
          <w:color w:val="000000"/>
          <w:sz w:val="26"/>
          <w:szCs w:val="26"/>
        </w:rPr>
        <w:t> </w:t>
      </w:r>
      <w:hyperlink r:id="rId9" w:history="1">
        <w:r w:rsidRPr="001B3DD4">
          <w:rPr>
            <w:rFonts w:eastAsia="Times New Roman" w:cstheme="minorHAnsi"/>
            <w:color w:val="0000CC"/>
            <w:sz w:val="26"/>
            <w:szCs w:val="26"/>
            <w:u w:val="single"/>
          </w:rPr>
          <w:t>Code Sec. 61</w:t>
        </w:r>
      </w:hyperlink>
      <w:r w:rsidRPr="000764A8">
        <w:rPr>
          <w:rFonts w:eastAsia="Times New Roman" w:cstheme="minorHAnsi"/>
          <w:color w:val="000000"/>
          <w:sz w:val="26"/>
          <w:szCs w:val="26"/>
        </w:rPr>
        <w:t xml:space="preserve">. </w:t>
      </w:r>
      <w:r w:rsidR="001B3DD4">
        <w:rPr>
          <w:rFonts w:eastAsia="Times New Roman" w:cstheme="minorHAnsi"/>
          <w:color w:val="000000"/>
          <w:sz w:val="26"/>
          <w:szCs w:val="26"/>
        </w:rPr>
        <w:br/>
      </w:r>
      <w:r w:rsidRPr="000764A8">
        <w:rPr>
          <w:rFonts w:eastAsia="Times New Roman" w:cstheme="minorHAnsi"/>
          <w:color w:val="000000"/>
          <w:sz w:val="26"/>
          <w:szCs w:val="26"/>
        </w:rPr>
        <w:t xml:space="preserve">However, the </w:t>
      </w:r>
      <w:proofErr w:type="spellStart"/>
      <w:r w:rsidRPr="000764A8">
        <w:rPr>
          <w:rFonts w:eastAsia="Times New Roman" w:cstheme="minorHAnsi"/>
          <w:color w:val="000000"/>
          <w:sz w:val="26"/>
          <w:szCs w:val="26"/>
        </w:rPr>
        <w:t>regs</w:t>
      </w:r>
      <w:proofErr w:type="spellEnd"/>
      <w:r w:rsidRPr="000764A8">
        <w:rPr>
          <w:rFonts w:eastAsia="Times New Roman" w:cstheme="minorHAnsi"/>
          <w:color w:val="000000"/>
          <w:sz w:val="26"/>
          <w:szCs w:val="26"/>
        </w:rPr>
        <w:t xml:space="preserve"> do not address the treatment of</w:t>
      </w:r>
      <w:r w:rsidRPr="001B3DD4">
        <w:rPr>
          <w:rFonts w:eastAsia="Times New Roman" w:cstheme="minorHAnsi"/>
          <w:color w:val="000000"/>
          <w:sz w:val="26"/>
          <w:szCs w:val="26"/>
        </w:rPr>
        <w:t> </w:t>
      </w:r>
      <w:r w:rsidRPr="000764A8">
        <w:rPr>
          <w:rFonts w:eastAsia="Times New Roman" w:cstheme="minorHAnsi"/>
          <w:i/>
          <w:iCs/>
          <w:color w:val="000000"/>
          <w:sz w:val="26"/>
          <w:szCs w:val="26"/>
        </w:rPr>
        <w:t>undistributed</w:t>
      </w:r>
      <w:r w:rsidRPr="001B3DD4">
        <w:rPr>
          <w:rFonts w:eastAsia="Times New Roman" w:cstheme="minorHAnsi"/>
          <w:color w:val="000000"/>
          <w:sz w:val="26"/>
          <w:szCs w:val="26"/>
        </w:rPr>
        <w:t> </w:t>
      </w:r>
      <w:r w:rsidRPr="000764A8">
        <w:rPr>
          <w:rFonts w:eastAsia="Times New Roman" w:cstheme="minorHAnsi"/>
          <w:color w:val="000000"/>
          <w:sz w:val="26"/>
          <w:szCs w:val="26"/>
        </w:rPr>
        <w:t>profits allocated to a non</w:t>
      </w:r>
      <w:r w:rsidR="0063391B">
        <w:rPr>
          <w:rFonts w:eastAsia="Times New Roman" w:cstheme="minorHAnsi"/>
          <w:color w:val="000000"/>
          <w:sz w:val="26"/>
          <w:szCs w:val="26"/>
        </w:rPr>
        <w:t>-</w:t>
      </w:r>
      <w:r w:rsidRPr="000764A8">
        <w:rPr>
          <w:rFonts w:eastAsia="Times New Roman" w:cstheme="minorHAnsi"/>
          <w:color w:val="000000"/>
          <w:sz w:val="26"/>
          <w:szCs w:val="26"/>
        </w:rPr>
        <w:t>vested interest.</w:t>
      </w:r>
    </w:p>
    <w:p w:rsidR="000764A8" w:rsidRPr="001B3DD4" w:rsidRDefault="000764A8" w:rsidP="001B3DD4">
      <w:pPr>
        <w:shd w:val="clear" w:color="auto" w:fill="FFFFFF"/>
        <w:spacing w:before="120" w:after="0" w:line="280" w:lineRule="atLeast"/>
        <w:outlineLvl w:val="1"/>
        <w:rPr>
          <w:rFonts w:eastAsia="Times New Roman" w:cstheme="minorHAnsi"/>
          <w:b/>
          <w:bCs/>
          <w:color w:val="000000"/>
          <w:sz w:val="26"/>
          <w:szCs w:val="26"/>
        </w:rPr>
      </w:pPr>
      <w:r w:rsidRPr="000764A8">
        <w:rPr>
          <w:rFonts w:eastAsia="Times New Roman" w:cstheme="minorHAnsi"/>
          <w:b/>
          <w:bCs/>
          <w:color w:val="000000"/>
          <w:sz w:val="26"/>
          <w:szCs w:val="26"/>
        </w:rPr>
        <w:t>Background</w:t>
      </w:r>
    </w:p>
    <w:p w:rsidR="000764A8" w:rsidRPr="000764A8" w:rsidRDefault="000764A8" w:rsidP="001B3DD4">
      <w:pPr>
        <w:shd w:val="clear" w:color="auto" w:fill="FFFFFF"/>
        <w:spacing w:before="120" w:after="0" w:line="280" w:lineRule="atLeast"/>
        <w:rPr>
          <w:rFonts w:eastAsia="Times New Roman" w:cstheme="minorHAnsi"/>
          <w:color w:val="000000"/>
          <w:sz w:val="26"/>
          <w:szCs w:val="26"/>
        </w:rPr>
      </w:pPr>
      <w:r w:rsidRPr="000764A8">
        <w:rPr>
          <w:rFonts w:eastAsia="Times New Roman" w:cstheme="minorHAnsi"/>
          <w:color w:val="000000"/>
          <w:sz w:val="26"/>
          <w:szCs w:val="26"/>
        </w:rPr>
        <w:t>The taxpayer, an individual, was a</w:t>
      </w:r>
      <w:r w:rsidRPr="001B3DD4">
        <w:rPr>
          <w:rFonts w:eastAsia="Times New Roman" w:cstheme="minorHAnsi"/>
          <w:color w:val="000000"/>
          <w:sz w:val="26"/>
          <w:szCs w:val="26"/>
        </w:rPr>
        <w:t xml:space="preserve"> senior employee for a company of</w:t>
      </w:r>
      <w:r w:rsidRPr="000764A8">
        <w:rPr>
          <w:rFonts w:eastAsia="Times New Roman" w:cstheme="minorHAnsi"/>
          <w:color w:val="000000"/>
          <w:sz w:val="26"/>
          <w:szCs w:val="26"/>
        </w:rPr>
        <w:t xml:space="preserve"> </w:t>
      </w:r>
      <w:r w:rsidRPr="001B3DD4">
        <w:rPr>
          <w:rFonts w:eastAsia="Times New Roman" w:cstheme="minorHAnsi"/>
          <w:color w:val="000000"/>
          <w:sz w:val="26"/>
          <w:szCs w:val="26"/>
        </w:rPr>
        <w:t>Crescent Holdings</w:t>
      </w:r>
      <w:r w:rsidRPr="001B3DD4">
        <w:rPr>
          <w:rFonts w:eastAsia="Times New Roman" w:cstheme="minorHAnsi"/>
          <w:color w:val="000000"/>
          <w:sz w:val="26"/>
          <w:szCs w:val="26"/>
        </w:rPr>
        <w:t xml:space="preserve"> LLC, a partnership. Two</w:t>
      </w:r>
      <w:r w:rsidRPr="000764A8">
        <w:rPr>
          <w:rFonts w:eastAsia="Times New Roman" w:cstheme="minorHAnsi"/>
          <w:color w:val="000000"/>
          <w:sz w:val="26"/>
          <w:szCs w:val="26"/>
        </w:rPr>
        <w:t xml:space="preserve"> investor</w:t>
      </w:r>
      <w:r w:rsidRPr="001B3DD4">
        <w:rPr>
          <w:rFonts w:eastAsia="Times New Roman" w:cstheme="minorHAnsi"/>
          <w:color w:val="000000"/>
          <w:sz w:val="26"/>
          <w:szCs w:val="26"/>
        </w:rPr>
        <w:t>s</w:t>
      </w:r>
      <w:r w:rsidRPr="000764A8">
        <w:rPr>
          <w:rFonts w:eastAsia="Times New Roman" w:cstheme="minorHAnsi"/>
          <w:color w:val="000000"/>
          <w:sz w:val="26"/>
          <w:szCs w:val="26"/>
        </w:rPr>
        <w:t xml:space="preserve"> each owned 49 per</w:t>
      </w:r>
      <w:r w:rsidRPr="001B3DD4">
        <w:rPr>
          <w:rFonts w:eastAsia="Times New Roman" w:cstheme="minorHAnsi"/>
          <w:color w:val="000000"/>
          <w:sz w:val="26"/>
          <w:szCs w:val="26"/>
        </w:rPr>
        <w:t xml:space="preserve">cent of </w:t>
      </w:r>
      <w:r w:rsidRPr="001B3DD4">
        <w:rPr>
          <w:rFonts w:eastAsia="Times New Roman" w:cstheme="minorHAnsi"/>
          <w:color w:val="000000"/>
          <w:sz w:val="26"/>
          <w:szCs w:val="26"/>
        </w:rPr>
        <w:t>Crescent Holdings</w:t>
      </w:r>
      <w:r w:rsidRPr="001B3DD4">
        <w:rPr>
          <w:rFonts w:eastAsia="Times New Roman" w:cstheme="minorHAnsi"/>
          <w:color w:val="000000"/>
          <w:sz w:val="26"/>
          <w:szCs w:val="26"/>
        </w:rPr>
        <w:t xml:space="preserve"> LLC</w:t>
      </w:r>
      <w:r w:rsidRPr="000764A8">
        <w:rPr>
          <w:rFonts w:eastAsia="Times New Roman" w:cstheme="minorHAnsi"/>
          <w:color w:val="000000"/>
          <w:sz w:val="26"/>
          <w:szCs w:val="26"/>
        </w:rPr>
        <w:t xml:space="preserve">. The taxpayer agreed to work for </w:t>
      </w:r>
      <w:r w:rsidRPr="001B3DD4">
        <w:rPr>
          <w:rFonts w:eastAsia="Times New Roman" w:cstheme="minorHAnsi"/>
          <w:color w:val="000000"/>
          <w:sz w:val="26"/>
          <w:szCs w:val="26"/>
        </w:rPr>
        <w:t>Crescent Holdings</w:t>
      </w:r>
      <w:r w:rsidRPr="000764A8">
        <w:rPr>
          <w:rFonts w:eastAsia="Times New Roman" w:cstheme="minorHAnsi"/>
          <w:color w:val="000000"/>
          <w:sz w:val="26"/>
          <w:szCs w:val="26"/>
        </w:rPr>
        <w:t xml:space="preserve">, in exchange </w:t>
      </w:r>
      <w:r w:rsidRPr="001B3DD4">
        <w:rPr>
          <w:rFonts w:eastAsia="Times New Roman" w:cstheme="minorHAnsi"/>
          <w:color w:val="000000"/>
          <w:sz w:val="26"/>
          <w:szCs w:val="26"/>
        </w:rPr>
        <w:t xml:space="preserve">for a two percent interest in </w:t>
      </w:r>
      <w:r w:rsidRPr="001B3DD4">
        <w:rPr>
          <w:rFonts w:eastAsia="Times New Roman" w:cstheme="minorHAnsi"/>
          <w:color w:val="000000"/>
          <w:sz w:val="26"/>
          <w:szCs w:val="26"/>
        </w:rPr>
        <w:t>Crescent Holdings</w:t>
      </w:r>
      <w:r w:rsidRPr="000764A8">
        <w:rPr>
          <w:rFonts w:eastAsia="Times New Roman" w:cstheme="minorHAnsi"/>
          <w:color w:val="000000"/>
          <w:sz w:val="26"/>
          <w:szCs w:val="26"/>
        </w:rPr>
        <w:t>, provided he worked for the company three years.</w:t>
      </w:r>
    </w:p>
    <w:p w:rsidR="000764A8" w:rsidRPr="000764A8" w:rsidRDefault="001B3DD4" w:rsidP="001B3DD4">
      <w:pPr>
        <w:shd w:val="clear" w:color="auto" w:fill="FFFFFF"/>
        <w:spacing w:before="120" w:after="0" w:line="280" w:lineRule="atLeast"/>
        <w:rPr>
          <w:rFonts w:eastAsia="Times New Roman" w:cstheme="minorHAnsi"/>
          <w:color w:val="000000"/>
          <w:sz w:val="26"/>
          <w:szCs w:val="26"/>
        </w:rPr>
      </w:pPr>
      <w:r>
        <w:rPr>
          <w:rFonts w:eastAsia="Times New Roman" w:cstheme="minorHAnsi"/>
          <w:color w:val="000000"/>
          <w:sz w:val="26"/>
          <w:szCs w:val="26"/>
        </w:rPr>
        <w:t xml:space="preserve">In year 1, </w:t>
      </w:r>
      <w:r w:rsidR="000764A8" w:rsidRPr="001B3DD4">
        <w:rPr>
          <w:rFonts w:eastAsia="Times New Roman" w:cstheme="minorHAnsi"/>
          <w:color w:val="000000"/>
          <w:sz w:val="26"/>
          <w:szCs w:val="26"/>
        </w:rPr>
        <w:t>Crescent Holdings</w:t>
      </w:r>
      <w:r w:rsidR="000764A8" w:rsidRPr="001B3DD4">
        <w:rPr>
          <w:rFonts w:eastAsia="Times New Roman" w:cstheme="minorHAnsi"/>
          <w:color w:val="000000"/>
          <w:sz w:val="26"/>
          <w:szCs w:val="26"/>
        </w:rPr>
        <w:t xml:space="preserve"> </w:t>
      </w:r>
      <w:r w:rsidR="000764A8" w:rsidRPr="000764A8">
        <w:rPr>
          <w:rFonts w:eastAsia="Times New Roman" w:cstheme="minorHAnsi"/>
          <w:color w:val="000000"/>
          <w:sz w:val="26"/>
          <w:szCs w:val="26"/>
        </w:rPr>
        <w:t>issued a Schedule K-1, Partner’s Share of Income, etc., to the taxpayer</w:t>
      </w:r>
      <w:r w:rsidR="000764A8" w:rsidRPr="000764A8">
        <w:rPr>
          <w:rFonts w:eastAsia="Times New Roman" w:cstheme="minorHAnsi"/>
          <w:b/>
          <w:color w:val="000000"/>
          <w:sz w:val="26"/>
          <w:szCs w:val="26"/>
        </w:rPr>
        <w:t>, allocating him $423,000 as his share of partnership income.</w:t>
      </w:r>
      <w:r w:rsidR="000764A8" w:rsidRPr="000764A8">
        <w:rPr>
          <w:rFonts w:eastAsia="Times New Roman" w:cstheme="minorHAnsi"/>
          <w:color w:val="000000"/>
          <w:sz w:val="26"/>
          <w:szCs w:val="26"/>
        </w:rPr>
        <w:t xml:space="preserve"> The partnership made no distrib</w:t>
      </w:r>
      <w:r>
        <w:rPr>
          <w:rFonts w:eastAsia="Times New Roman" w:cstheme="minorHAnsi"/>
          <w:color w:val="000000"/>
          <w:sz w:val="26"/>
          <w:szCs w:val="26"/>
        </w:rPr>
        <w:t>utions to the taxpayer. In Year 2</w:t>
      </w:r>
      <w:r w:rsidR="000764A8" w:rsidRPr="000764A8">
        <w:rPr>
          <w:rFonts w:eastAsia="Times New Roman" w:cstheme="minorHAnsi"/>
          <w:color w:val="000000"/>
          <w:sz w:val="26"/>
          <w:szCs w:val="26"/>
        </w:rPr>
        <w:t xml:space="preserve">, the partnership issued </w:t>
      </w:r>
      <w:r w:rsidR="000764A8" w:rsidRPr="000764A8">
        <w:rPr>
          <w:rFonts w:eastAsia="Times New Roman" w:cstheme="minorHAnsi"/>
          <w:b/>
          <w:color w:val="000000"/>
          <w:sz w:val="26"/>
          <w:szCs w:val="26"/>
        </w:rPr>
        <w:t>a Schedule K-1 allocating $3.6 million to the taxpayer</w:t>
      </w:r>
      <w:r w:rsidR="000764A8" w:rsidRPr="000764A8">
        <w:rPr>
          <w:rFonts w:eastAsia="Times New Roman" w:cstheme="minorHAnsi"/>
          <w:color w:val="000000"/>
          <w:sz w:val="26"/>
          <w:szCs w:val="26"/>
        </w:rPr>
        <w:t xml:space="preserve"> as his share of partnership income. Again, no amounts were distributed.</w:t>
      </w:r>
    </w:p>
    <w:p w:rsidR="000764A8" w:rsidRPr="000764A8" w:rsidRDefault="000764A8" w:rsidP="001B3DD4">
      <w:pPr>
        <w:shd w:val="clear" w:color="auto" w:fill="FFFFFF"/>
        <w:spacing w:before="120" w:after="0" w:line="280" w:lineRule="atLeast"/>
        <w:rPr>
          <w:rFonts w:eastAsia="Times New Roman" w:cstheme="minorHAnsi"/>
          <w:color w:val="000000"/>
          <w:sz w:val="26"/>
          <w:szCs w:val="26"/>
        </w:rPr>
      </w:pPr>
      <w:r w:rsidRPr="000764A8">
        <w:rPr>
          <w:rFonts w:eastAsia="Times New Roman" w:cstheme="minorHAnsi"/>
          <w:color w:val="000000"/>
          <w:sz w:val="26"/>
          <w:szCs w:val="26"/>
        </w:rPr>
        <w:t>For both years, the taxpayer believed that he was not a partner and was not taxable on the undistributed income. However, he reported the income to the IRS and paid taxes on it. His employer paid him $2.4 million to cover his tax liability for the undistributed profits.</w:t>
      </w:r>
    </w:p>
    <w:p w:rsidR="000764A8" w:rsidRPr="000764A8" w:rsidRDefault="000764A8" w:rsidP="001B3DD4">
      <w:pPr>
        <w:shd w:val="clear" w:color="auto" w:fill="FFFFFF"/>
        <w:spacing w:before="120" w:after="0" w:line="280" w:lineRule="atLeast"/>
        <w:rPr>
          <w:rFonts w:eastAsia="Times New Roman" w:cstheme="minorHAnsi"/>
          <w:color w:val="000000"/>
          <w:sz w:val="26"/>
          <w:szCs w:val="26"/>
        </w:rPr>
      </w:pPr>
      <w:r w:rsidRPr="000764A8">
        <w:rPr>
          <w:rFonts w:eastAsia="Times New Roman" w:cstheme="minorHAnsi"/>
          <w:color w:val="000000"/>
          <w:sz w:val="26"/>
          <w:szCs w:val="26"/>
        </w:rPr>
        <w:t xml:space="preserve">After </w:t>
      </w:r>
      <w:r w:rsidRPr="001B3DD4">
        <w:rPr>
          <w:rFonts w:eastAsia="Times New Roman" w:cstheme="minorHAnsi"/>
          <w:color w:val="000000"/>
          <w:sz w:val="26"/>
          <w:szCs w:val="26"/>
        </w:rPr>
        <w:t>Crescent Holdings</w:t>
      </w:r>
      <w:r w:rsidRPr="000764A8">
        <w:rPr>
          <w:rFonts w:eastAsia="Times New Roman" w:cstheme="minorHAnsi"/>
          <w:color w:val="000000"/>
          <w:sz w:val="26"/>
          <w:szCs w:val="26"/>
        </w:rPr>
        <w:t>’ financial condition declined, the taxpayer resig</w:t>
      </w:r>
      <w:r w:rsidR="001B3DD4">
        <w:rPr>
          <w:rFonts w:eastAsia="Times New Roman" w:cstheme="minorHAnsi"/>
          <w:color w:val="000000"/>
          <w:sz w:val="26"/>
          <w:szCs w:val="26"/>
        </w:rPr>
        <w:t xml:space="preserve">ned his employment </w:t>
      </w:r>
      <w:r w:rsidRPr="000764A8">
        <w:rPr>
          <w:rFonts w:eastAsia="Times New Roman" w:cstheme="minorHAnsi"/>
          <w:color w:val="000000"/>
          <w:sz w:val="26"/>
          <w:szCs w:val="26"/>
        </w:rPr>
        <w:t>be</w:t>
      </w:r>
      <w:r w:rsidRPr="001B3DD4">
        <w:rPr>
          <w:rFonts w:eastAsia="Times New Roman" w:cstheme="minorHAnsi"/>
          <w:color w:val="000000"/>
          <w:sz w:val="26"/>
          <w:szCs w:val="26"/>
        </w:rPr>
        <w:t xml:space="preserve">fore three years had elapsed. </w:t>
      </w:r>
      <w:r w:rsidRPr="000764A8">
        <w:rPr>
          <w:rFonts w:eastAsia="Times New Roman" w:cstheme="minorHAnsi"/>
          <w:color w:val="000000"/>
          <w:sz w:val="26"/>
          <w:szCs w:val="26"/>
        </w:rPr>
        <w:t xml:space="preserve"> The credito</w:t>
      </w:r>
      <w:r w:rsidRPr="001B3DD4">
        <w:rPr>
          <w:rFonts w:eastAsia="Times New Roman" w:cstheme="minorHAnsi"/>
          <w:color w:val="000000"/>
          <w:sz w:val="26"/>
          <w:szCs w:val="26"/>
        </w:rPr>
        <w:t xml:space="preserve">rs of </w:t>
      </w:r>
      <w:r w:rsidRPr="001B3DD4">
        <w:rPr>
          <w:rFonts w:eastAsia="Times New Roman" w:cstheme="minorHAnsi"/>
          <w:color w:val="000000"/>
          <w:sz w:val="26"/>
          <w:szCs w:val="26"/>
        </w:rPr>
        <w:t>Crescent Holdings</w:t>
      </w:r>
      <w:r w:rsidRPr="000764A8">
        <w:rPr>
          <w:rFonts w:eastAsia="Times New Roman" w:cstheme="minorHAnsi"/>
          <w:color w:val="000000"/>
          <w:sz w:val="26"/>
          <w:szCs w:val="26"/>
        </w:rPr>
        <w:t xml:space="preserve"> intervened in the bankruptcy proceeding, seeking repayment of the $2.4 million.</w:t>
      </w:r>
    </w:p>
    <w:p w:rsidR="000764A8" w:rsidRPr="000764A8" w:rsidRDefault="001B3DD4" w:rsidP="001B3DD4">
      <w:pPr>
        <w:shd w:val="clear" w:color="auto" w:fill="FFFFFF"/>
        <w:spacing w:before="120" w:after="0" w:line="280" w:lineRule="atLeast"/>
        <w:outlineLvl w:val="1"/>
        <w:rPr>
          <w:rFonts w:eastAsia="Times New Roman" w:cstheme="minorHAnsi"/>
          <w:b/>
          <w:bCs/>
          <w:color w:val="000000"/>
          <w:sz w:val="26"/>
          <w:szCs w:val="26"/>
        </w:rPr>
      </w:pPr>
      <w:r>
        <w:rPr>
          <w:rFonts w:eastAsia="Times New Roman" w:cstheme="minorHAnsi"/>
          <w:b/>
          <w:bCs/>
          <w:color w:val="000000"/>
          <w:sz w:val="26"/>
          <w:szCs w:val="26"/>
        </w:rPr>
        <w:br w:type="column"/>
      </w:r>
      <w:r w:rsidR="000764A8" w:rsidRPr="000764A8">
        <w:rPr>
          <w:rFonts w:eastAsia="Times New Roman" w:cstheme="minorHAnsi"/>
          <w:b/>
          <w:bCs/>
          <w:color w:val="000000"/>
          <w:sz w:val="26"/>
          <w:szCs w:val="26"/>
        </w:rPr>
        <w:t>Parties’ views</w:t>
      </w:r>
    </w:p>
    <w:p w:rsidR="000764A8" w:rsidRPr="000764A8" w:rsidRDefault="000764A8" w:rsidP="001B3DD4">
      <w:pPr>
        <w:shd w:val="clear" w:color="auto" w:fill="FFFFFF"/>
        <w:spacing w:before="120" w:after="0" w:line="280" w:lineRule="atLeast"/>
        <w:rPr>
          <w:rFonts w:eastAsia="Times New Roman" w:cstheme="minorHAnsi"/>
          <w:color w:val="000000"/>
          <w:sz w:val="26"/>
          <w:szCs w:val="26"/>
        </w:rPr>
      </w:pPr>
      <w:r w:rsidRPr="000764A8">
        <w:rPr>
          <w:rFonts w:eastAsia="Times New Roman" w:cstheme="minorHAnsi"/>
          <w:color w:val="000000"/>
          <w:sz w:val="26"/>
          <w:szCs w:val="26"/>
        </w:rPr>
        <w:t>The taxpayer argued that under</w:t>
      </w:r>
      <w:r w:rsidRPr="001B3DD4">
        <w:rPr>
          <w:rFonts w:eastAsia="Times New Roman" w:cstheme="minorHAnsi"/>
          <w:color w:val="000000"/>
          <w:sz w:val="26"/>
          <w:szCs w:val="26"/>
        </w:rPr>
        <w:t> </w:t>
      </w:r>
      <w:hyperlink r:id="rId10" w:history="1">
        <w:r w:rsidRPr="001B3DD4">
          <w:rPr>
            <w:rFonts w:eastAsia="Times New Roman" w:cstheme="minorHAnsi"/>
            <w:color w:val="0000CC"/>
            <w:sz w:val="26"/>
            <w:szCs w:val="26"/>
            <w:u w:val="single"/>
          </w:rPr>
          <w:t>Code Sec. 83</w:t>
        </w:r>
      </w:hyperlink>
      <w:r w:rsidR="001B3DD4" w:rsidRPr="001B3DD4">
        <w:rPr>
          <w:rFonts w:eastAsia="Times New Roman" w:cstheme="minorHAnsi"/>
          <w:color w:val="000000"/>
          <w:sz w:val="26"/>
          <w:szCs w:val="26"/>
        </w:rPr>
        <w:t xml:space="preserve">, his interest </w:t>
      </w:r>
      <w:r w:rsidRPr="000764A8">
        <w:rPr>
          <w:rFonts w:eastAsia="Times New Roman" w:cstheme="minorHAnsi"/>
          <w:color w:val="000000"/>
          <w:sz w:val="26"/>
          <w:szCs w:val="26"/>
        </w:rPr>
        <w:t>was an interest in partnership capital that never vested. Therefore, he was not the owner of the interest and should not be allocated any partnership profits. The IRS made the same argument. The intervenors argued that the interest was a profits interest and that the taxpayer was liable on his share of the profits under</w:t>
      </w:r>
      <w:r w:rsidRPr="001B3DD4">
        <w:rPr>
          <w:rFonts w:eastAsia="Times New Roman" w:cstheme="minorHAnsi"/>
          <w:color w:val="000000"/>
          <w:sz w:val="26"/>
          <w:szCs w:val="26"/>
        </w:rPr>
        <w:t> </w:t>
      </w:r>
      <w:hyperlink r:id="rId11" w:history="1">
        <w:r w:rsidRPr="001B3DD4">
          <w:rPr>
            <w:rFonts w:eastAsia="Times New Roman" w:cstheme="minorHAnsi"/>
            <w:color w:val="0000CC"/>
            <w:sz w:val="26"/>
            <w:szCs w:val="26"/>
            <w:u w:val="single"/>
          </w:rPr>
          <w:t>Rev. Proc. 93-27</w:t>
        </w:r>
      </w:hyperlink>
      <w:r w:rsidRPr="000764A8">
        <w:rPr>
          <w:rFonts w:eastAsia="Times New Roman" w:cstheme="minorHAnsi"/>
          <w:color w:val="000000"/>
          <w:sz w:val="26"/>
          <w:szCs w:val="26"/>
        </w:rPr>
        <w:t xml:space="preserve">, which treats the service provider as the owner of the interest from the date of grant, even if the interest is </w:t>
      </w:r>
      <w:proofErr w:type="spellStart"/>
      <w:r w:rsidRPr="000764A8">
        <w:rPr>
          <w:rFonts w:eastAsia="Times New Roman" w:cstheme="minorHAnsi"/>
          <w:color w:val="000000"/>
          <w:sz w:val="26"/>
          <w:szCs w:val="26"/>
        </w:rPr>
        <w:t>nonvested</w:t>
      </w:r>
      <w:proofErr w:type="spellEnd"/>
      <w:r w:rsidRPr="000764A8">
        <w:rPr>
          <w:rFonts w:eastAsia="Times New Roman" w:cstheme="minorHAnsi"/>
          <w:color w:val="000000"/>
          <w:sz w:val="26"/>
          <w:szCs w:val="26"/>
        </w:rPr>
        <w:t>.</w:t>
      </w:r>
    </w:p>
    <w:p w:rsidR="000764A8" w:rsidRPr="000764A8" w:rsidRDefault="000764A8" w:rsidP="001B3DD4">
      <w:pPr>
        <w:shd w:val="clear" w:color="auto" w:fill="FFFFFF"/>
        <w:spacing w:before="120" w:after="0" w:line="280" w:lineRule="atLeast"/>
        <w:outlineLvl w:val="1"/>
        <w:rPr>
          <w:rFonts w:eastAsia="Times New Roman" w:cstheme="minorHAnsi"/>
          <w:b/>
          <w:bCs/>
          <w:color w:val="000000"/>
          <w:sz w:val="26"/>
          <w:szCs w:val="26"/>
        </w:rPr>
      </w:pPr>
      <w:r w:rsidRPr="000764A8">
        <w:rPr>
          <w:rFonts w:eastAsia="Times New Roman" w:cstheme="minorHAnsi"/>
          <w:b/>
          <w:bCs/>
          <w:color w:val="000000"/>
          <w:sz w:val="26"/>
          <w:szCs w:val="26"/>
        </w:rPr>
        <w:t>Court’s analysis</w:t>
      </w:r>
    </w:p>
    <w:p w:rsidR="000764A8" w:rsidRPr="000764A8" w:rsidRDefault="000764A8" w:rsidP="001B3DD4">
      <w:pPr>
        <w:shd w:val="clear" w:color="auto" w:fill="FFFFFF"/>
        <w:spacing w:before="120" w:after="0" w:line="280" w:lineRule="atLeast"/>
        <w:rPr>
          <w:rFonts w:eastAsia="Times New Roman" w:cstheme="minorHAnsi"/>
          <w:color w:val="000000"/>
          <w:sz w:val="26"/>
          <w:szCs w:val="26"/>
        </w:rPr>
      </w:pPr>
      <w:r w:rsidRPr="000764A8">
        <w:rPr>
          <w:rFonts w:eastAsia="Times New Roman" w:cstheme="minorHAnsi"/>
          <w:color w:val="000000"/>
          <w:sz w:val="26"/>
          <w:szCs w:val="26"/>
        </w:rPr>
        <w:t>The main issue was whether the taxpayer or the other partners of CH should recognize the undistributed partnership income allocated to the taxpayer’s interest. The Tax Court found that:</w:t>
      </w:r>
    </w:p>
    <w:p w:rsidR="000764A8" w:rsidRPr="000764A8" w:rsidRDefault="000764A8" w:rsidP="001B3DD4">
      <w:pPr>
        <w:numPr>
          <w:ilvl w:val="0"/>
          <w:numId w:val="1"/>
        </w:numPr>
        <w:shd w:val="clear" w:color="auto" w:fill="FFFFFF"/>
        <w:spacing w:before="120" w:after="0" w:line="280" w:lineRule="atLeast"/>
        <w:ind w:left="360"/>
        <w:rPr>
          <w:rFonts w:eastAsia="Times New Roman" w:cstheme="minorHAnsi"/>
          <w:color w:val="000000"/>
          <w:sz w:val="26"/>
          <w:szCs w:val="26"/>
        </w:rPr>
      </w:pPr>
      <w:r w:rsidRPr="000764A8">
        <w:rPr>
          <w:rFonts w:eastAsia="Times New Roman" w:cstheme="minorHAnsi"/>
          <w:color w:val="000000"/>
          <w:sz w:val="26"/>
          <w:szCs w:val="26"/>
        </w:rPr>
        <w:t>The two percent interest was a capital interest, not a profits interest. Therefore,</w:t>
      </w:r>
      <w:r w:rsidRPr="001B3DD4">
        <w:rPr>
          <w:rFonts w:eastAsia="Times New Roman" w:cstheme="minorHAnsi"/>
          <w:color w:val="000000"/>
          <w:sz w:val="26"/>
          <w:szCs w:val="26"/>
        </w:rPr>
        <w:t> </w:t>
      </w:r>
      <w:hyperlink r:id="rId12" w:history="1">
        <w:r w:rsidRPr="001B3DD4">
          <w:rPr>
            <w:rFonts w:eastAsia="Times New Roman" w:cstheme="minorHAnsi"/>
            <w:color w:val="0000CC"/>
            <w:sz w:val="26"/>
            <w:szCs w:val="26"/>
            <w:u w:val="single"/>
          </w:rPr>
          <w:t>Rev. Proc. 93-27</w:t>
        </w:r>
      </w:hyperlink>
      <w:r w:rsidRPr="001B3DD4">
        <w:rPr>
          <w:rFonts w:eastAsia="Times New Roman" w:cstheme="minorHAnsi"/>
          <w:color w:val="000000"/>
          <w:sz w:val="26"/>
          <w:szCs w:val="26"/>
        </w:rPr>
        <w:t> </w:t>
      </w:r>
      <w:r w:rsidRPr="000764A8">
        <w:rPr>
          <w:rFonts w:eastAsia="Times New Roman" w:cstheme="minorHAnsi"/>
          <w:color w:val="000000"/>
          <w:sz w:val="26"/>
          <w:szCs w:val="26"/>
        </w:rPr>
        <w:t>did not apply and did not require that the taxpayer be treated as the owner of the interest.</w:t>
      </w:r>
    </w:p>
    <w:p w:rsidR="000764A8" w:rsidRPr="000764A8" w:rsidRDefault="000764A8" w:rsidP="001B3DD4">
      <w:pPr>
        <w:numPr>
          <w:ilvl w:val="0"/>
          <w:numId w:val="1"/>
        </w:numPr>
        <w:shd w:val="clear" w:color="auto" w:fill="FFFFFF"/>
        <w:spacing w:before="120" w:after="0" w:line="280" w:lineRule="atLeast"/>
        <w:ind w:left="360"/>
        <w:rPr>
          <w:rFonts w:eastAsia="Times New Roman" w:cstheme="minorHAnsi"/>
          <w:color w:val="000000"/>
          <w:sz w:val="26"/>
          <w:szCs w:val="26"/>
        </w:rPr>
      </w:pPr>
      <w:r w:rsidRPr="000764A8">
        <w:rPr>
          <w:rFonts w:eastAsia="Times New Roman" w:cstheme="minorHAnsi"/>
          <w:color w:val="000000"/>
          <w:sz w:val="26"/>
          <w:szCs w:val="26"/>
        </w:rPr>
        <w:t>The capital interest was property under</w:t>
      </w:r>
      <w:r w:rsidRPr="001B3DD4">
        <w:rPr>
          <w:rFonts w:eastAsia="Times New Roman" w:cstheme="minorHAnsi"/>
          <w:color w:val="000000"/>
          <w:sz w:val="26"/>
          <w:szCs w:val="26"/>
        </w:rPr>
        <w:t> </w:t>
      </w:r>
      <w:hyperlink r:id="rId13" w:history="1">
        <w:r w:rsidRPr="001B3DD4">
          <w:rPr>
            <w:rFonts w:eastAsia="Times New Roman" w:cstheme="minorHAnsi"/>
            <w:color w:val="0000CC"/>
            <w:sz w:val="26"/>
            <w:szCs w:val="26"/>
            <w:u w:val="single"/>
          </w:rPr>
          <w:t>Code Sec. 83</w:t>
        </w:r>
      </w:hyperlink>
      <w:r w:rsidRPr="000764A8">
        <w:rPr>
          <w:rFonts w:eastAsia="Times New Roman" w:cstheme="minorHAnsi"/>
          <w:color w:val="000000"/>
          <w:sz w:val="26"/>
          <w:szCs w:val="26"/>
        </w:rPr>
        <w:t>. Therefore,</w:t>
      </w:r>
      <w:r w:rsidRPr="001B3DD4">
        <w:rPr>
          <w:rFonts w:eastAsia="Times New Roman" w:cstheme="minorHAnsi"/>
          <w:color w:val="000000"/>
          <w:sz w:val="26"/>
          <w:szCs w:val="26"/>
        </w:rPr>
        <w:t> </w:t>
      </w:r>
      <w:hyperlink r:id="rId14" w:history="1">
        <w:r w:rsidRPr="001B3DD4">
          <w:rPr>
            <w:rFonts w:eastAsia="Times New Roman" w:cstheme="minorHAnsi"/>
            <w:color w:val="0000CC"/>
            <w:sz w:val="26"/>
            <w:szCs w:val="26"/>
            <w:u w:val="single"/>
          </w:rPr>
          <w:t>Code Sec. 83</w:t>
        </w:r>
      </w:hyperlink>
      <w:r w:rsidRPr="000764A8">
        <w:rPr>
          <w:rFonts w:eastAsia="Times New Roman" w:cstheme="minorHAnsi"/>
          <w:color w:val="000000"/>
          <w:sz w:val="26"/>
          <w:szCs w:val="26"/>
        </w:rPr>
        <w:t>, not</w:t>
      </w:r>
      <w:r w:rsidRPr="001B3DD4">
        <w:rPr>
          <w:rFonts w:eastAsia="Times New Roman" w:cstheme="minorHAnsi"/>
          <w:color w:val="000000"/>
          <w:sz w:val="26"/>
          <w:szCs w:val="26"/>
        </w:rPr>
        <w:t> </w:t>
      </w:r>
      <w:hyperlink r:id="rId15" w:history="1">
        <w:r w:rsidRPr="001B3DD4">
          <w:rPr>
            <w:rFonts w:eastAsia="Times New Roman" w:cstheme="minorHAnsi"/>
            <w:color w:val="0000CC"/>
            <w:sz w:val="26"/>
            <w:szCs w:val="26"/>
            <w:u w:val="single"/>
          </w:rPr>
          <w:t>Code Sec. 721</w:t>
        </w:r>
      </w:hyperlink>
      <w:r w:rsidRPr="000764A8">
        <w:rPr>
          <w:rFonts w:eastAsia="Times New Roman" w:cstheme="minorHAnsi"/>
          <w:color w:val="000000"/>
          <w:sz w:val="26"/>
          <w:szCs w:val="26"/>
        </w:rPr>
        <w:t>, applied to the non</w:t>
      </w:r>
      <w:r w:rsidR="0063391B">
        <w:rPr>
          <w:rFonts w:eastAsia="Times New Roman" w:cstheme="minorHAnsi"/>
          <w:color w:val="000000"/>
          <w:sz w:val="26"/>
          <w:szCs w:val="26"/>
        </w:rPr>
        <w:t>-</w:t>
      </w:r>
      <w:bookmarkStart w:id="0" w:name="_GoBack"/>
      <w:bookmarkEnd w:id="0"/>
      <w:r w:rsidRPr="000764A8">
        <w:rPr>
          <w:rFonts w:eastAsia="Times New Roman" w:cstheme="minorHAnsi"/>
          <w:color w:val="000000"/>
          <w:sz w:val="26"/>
          <w:szCs w:val="26"/>
        </w:rPr>
        <w:t>vested interest transferred for services, and the taxpayer was not the owner of the interest.</w:t>
      </w:r>
    </w:p>
    <w:p w:rsidR="000764A8" w:rsidRPr="000764A8" w:rsidRDefault="000764A8" w:rsidP="001B3DD4">
      <w:pPr>
        <w:numPr>
          <w:ilvl w:val="0"/>
          <w:numId w:val="1"/>
        </w:numPr>
        <w:shd w:val="clear" w:color="auto" w:fill="FFFFFF"/>
        <w:spacing w:before="120" w:after="0" w:line="280" w:lineRule="atLeast"/>
        <w:ind w:left="360"/>
        <w:rPr>
          <w:rFonts w:eastAsia="Times New Roman" w:cstheme="minorHAnsi"/>
          <w:color w:val="000000"/>
          <w:sz w:val="26"/>
          <w:szCs w:val="26"/>
        </w:rPr>
      </w:pPr>
      <w:r w:rsidRPr="000764A8">
        <w:rPr>
          <w:rFonts w:eastAsia="Times New Roman" w:cstheme="minorHAnsi"/>
          <w:color w:val="000000"/>
          <w:sz w:val="26"/>
          <w:szCs w:val="26"/>
        </w:rPr>
        <w:t>The undistributed income allocated to the taxpayer was not the taxpayer’s income, because the taxpayer did not own the interest. Instead, CH, the transferor, owned the interest. The income allocated to that interest was allocable to the partners holding the remaining interests in CH.</w:t>
      </w:r>
    </w:p>
    <w:p w:rsidR="000764A8" w:rsidRPr="000764A8" w:rsidRDefault="000764A8" w:rsidP="001B3DD4">
      <w:pPr>
        <w:shd w:val="clear" w:color="auto" w:fill="FFFFFF"/>
        <w:spacing w:before="120" w:after="0" w:line="280" w:lineRule="atLeast"/>
        <w:rPr>
          <w:rFonts w:eastAsia="Times New Roman" w:cstheme="minorHAnsi"/>
          <w:color w:val="000000"/>
          <w:szCs w:val="26"/>
        </w:rPr>
      </w:pPr>
      <w:r w:rsidRPr="000764A8">
        <w:rPr>
          <w:rFonts w:eastAsia="Times New Roman" w:cstheme="minorHAnsi"/>
          <w:i/>
          <w:iCs/>
          <w:color w:val="000000"/>
          <w:szCs w:val="26"/>
        </w:rPr>
        <w:t>References:</w:t>
      </w:r>
      <w:r w:rsidRPr="001B3DD4">
        <w:rPr>
          <w:rFonts w:eastAsia="Times New Roman" w:cstheme="minorHAnsi"/>
          <w:i/>
          <w:iCs/>
          <w:color w:val="000000"/>
          <w:szCs w:val="26"/>
        </w:rPr>
        <w:t> </w:t>
      </w:r>
      <w:hyperlink r:id="rId16" w:history="1">
        <w:r w:rsidRPr="001B3DD4">
          <w:rPr>
            <w:rFonts w:eastAsia="Times New Roman" w:cstheme="minorHAnsi"/>
            <w:i/>
            <w:iCs/>
            <w:color w:val="0000CC"/>
            <w:szCs w:val="26"/>
            <w:u w:val="single"/>
          </w:rPr>
          <w:t>CCH Dec. 59,705</w:t>
        </w:r>
      </w:hyperlink>
      <w:r w:rsidRPr="000764A8">
        <w:rPr>
          <w:rFonts w:eastAsia="Times New Roman" w:cstheme="minorHAnsi"/>
          <w:i/>
          <w:iCs/>
          <w:color w:val="000000"/>
          <w:szCs w:val="26"/>
        </w:rPr>
        <w:t>;</w:t>
      </w:r>
      <w:r w:rsidRPr="001B3DD4">
        <w:rPr>
          <w:rFonts w:eastAsia="Times New Roman" w:cstheme="minorHAnsi"/>
          <w:i/>
          <w:iCs/>
          <w:color w:val="000000"/>
          <w:szCs w:val="26"/>
        </w:rPr>
        <w:t> </w:t>
      </w:r>
      <w:hyperlink r:id="rId17" w:history="1">
        <w:r w:rsidRPr="001B3DD4">
          <w:rPr>
            <w:rFonts w:eastAsia="Times New Roman" w:cstheme="minorHAnsi"/>
            <w:i/>
            <w:iCs/>
            <w:color w:val="0000CC"/>
            <w:szCs w:val="26"/>
            <w:u w:val="single"/>
          </w:rPr>
          <w:t>TRC COMPEN: 18,350</w:t>
        </w:r>
      </w:hyperlink>
      <w:r w:rsidRPr="000764A8">
        <w:rPr>
          <w:rFonts w:eastAsia="Times New Roman" w:cstheme="minorHAnsi"/>
          <w:i/>
          <w:iCs/>
          <w:color w:val="000000"/>
          <w:szCs w:val="26"/>
        </w:rPr>
        <w:t>.</w:t>
      </w:r>
    </w:p>
    <w:p w:rsidR="001B3DD4" w:rsidRPr="001B3DD4" w:rsidRDefault="001B3DD4" w:rsidP="001B3DD4">
      <w:pPr>
        <w:spacing w:before="120" w:after="0" w:line="280" w:lineRule="atLeast"/>
        <w:rPr>
          <w:rFonts w:cstheme="minorHAnsi"/>
          <w:sz w:val="26"/>
          <w:szCs w:val="26"/>
        </w:rPr>
        <w:sectPr w:rsidR="001B3DD4" w:rsidRPr="001B3DD4" w:rsidSect="001B3DD4">
          <w:type w:val="continuous"/>
          <w:pgSz w:w="12240" w:h="15840"/>
          <w:pgMar w:top="720" w:right="720" w:bottom="720" w:left="864" w:header="720" w:footer="720" w:gutter="0"/>
          <w:cols w:num="2" w:space="720"/>
          <w:docGrid w:linePitch="360"/>
        </w:sectPr>
      </w:pPr>
    </w:p>
    <w:p w:rsidR="006547D9" w:rsidRPr="001B3DD4" w:rsidRDefault="00BA05D7" w:rsidP="001B3DD4">
      <w:pPr>
        <w:spacing w:before="120" w:after="0" w:line="280" w:lineRule="atLeast"/>
        <w:rPr>
          <w:rFonts w:cstheme="minorHAnsi"/>
          <w:sz w:val="26"/>
          <w:szCs w:val="26"/>
        </w:rPr>
      </w:pPr>
    </w:p>
    <w:sectPr w:rsidR="006547D9" w:rsidRPr="001B3DD4" w:rsidSect="001B3DD4">
      <w:type w:val="continuous"/>
      <w:pgSz w:w="12240" w:h="15840"/>
      <w:pgMar w:top="720" w:right="720"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5D7" w:rsidRDefault="00BA05D7" w:rsidP="0063391B">
      <w:pPr>
        <w:spacing w:after="0" w:line="240" w:lineRule="auto"/>
      </w:pPr>
      <w:r>
        <w:separator/>
      </w:r>
    </w:p>
  </w:endnote>
  <w:endnote w:type="continuationSeparator" w:id="0">
    <w:p w:rsidR="00BA05D7" w:rsidRDefault="00BA05D7" w:rsidP="00633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91B" w:rsidRPr="0063391B" w:rsidRDefault="0063391B">
    <w:pPr>
      <w:pStyle w:val="Footer"/>
      <w:rPr>
        <w:sz w:val="18"/>
      </w:rPr>
    </w:pPr>
    <w:r w:rsidRPr="0063391B">
      <w:rPr>
        <w:sz w:val="18"/>
      </w:rPr>
      <w:fldChar w:fldCharType="begin"/>
    </w:r>
    <w:r w:rsidRPr="0063391B">
      <w:rPr>
        <w:sz w:val="18"/>
      </w:rPr>
      <w:instrText xml:space="preserve"> FILENAME   \* MERGEFORMAT </w:instrText>
    </w:r>
    <w:r w:rsidRPr="0063391B">
      <w:rPr>
        <w:sz w:val="18"/>
      </w:rPr>
      <w:fldChar w:fldCharType="separate"/>
    </w:r>
    <w:r w:rsidRPr="0063391B">
      <w:rPr>
        <w:noProof/>
        <w:sz w:val="18"/>
      </w:rPr>
      <w:t>IND-17-Chap-12-Crescent Holdings-Sec-83-Partnership Interest</w:t>
    </w:r>
    <w:r w:rsidRPr="0063391B">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5D7" w:rsidRDefault="00BA05D7" w:rsidP="0063391B">
      <w:pPr>
        <w:spacing w:after="0" w:line="240" w:lineRule="auto"/>
      </w:pPr>
      <w:r>
        <w:separator/>
      </w:r>
    </w:p>
  </w:footnote>
  <w:footnote w:type="continuationSeparator" w:id="0">
    <w:p w:rsidR="00BA05D7" w:rsidRDefault="00BA05D7" w:rsidP="00633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924C5"/>
    <w:multiLevelType w:val="multilevel"/>
    <w:tmpl w:val="B14C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4A8"/>
    <w:rsid w:val="00000235"/>
    <w:rsid w:val="000764A8"/>
    <w:rsid w:val="001B3DD4"/>
    <w:rsid w:val="001F7C9E"/>
    <w:rsid w:val="00450A0E"/>
    <w:rsid w:val="00487864"/>
    <w:rsid w:val="004A1DF8"/>
    <w:rsid w:val="0063391B"/>
    <w:rsid w:val="009067B6"/>
    <w:rsid w:val="00BA0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DDB7"/>
  <w15:chartTrackingRefBased/>
  <w15:docId w15:val="{52057582-4D76-425F-9FC9-113907D0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0764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64A8"/>
    <w:rPr>
      <w:rFonts w:ascii="Times New Roman" w:eastAsia="Times New Roman" w:hAnsi="Times New Roman" w:cs="Times New Roman"/>
      <w:b/>
      <w:bCs/>
      <w:sz w:val="36"/>
      <w:szCs w:val="36"/>
    </w:rPr>
  </w:style>
  <w:style w:type="paragraph" w:customStyle="1" w:styleId="hp">
    <w:name w:val="hp"/>
    <w:basedOn w:val="Normal"/>
    <w:rsid w:val="000764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64A8"/>
  </w:style>
  <w:style w:type="character" w:styleId="Hyperlink">
    <w:name w:val="Hyperlink"/>
    <w:basedOn w:val="DefaultParagraphFont"/>
    <w:uiPriority w:val="99"/>
    <w:semiHidden/>
    <w:unhideWhenUsed/>
    <w:rsid w:val="000764A8"/>
    <w:rPr>
      <w:color w:val="0000FF"/>
      <w:u w:val="single"/>
    </w:rPr>
  </w:style>
  <w:style w:type="paragraph" w:styleId="Header">
    <w:name w:val="header"/>
    <w:basedOn w:val="Normal"/>
    <w:link w:val="HeaderChar"/>
    <w:uiPriority w:val="99"/>
    <w:unhideWhenUsed/>
    <w:rsid w:val="00633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91B"/>
  </w:style>
  <w:style w:type="paragraph" w:styleId="Footer">
    <w:name w:val="footer"/>
    <w:basedOn w:val="Normal"/>
    <w:link w:val="FooterChar"/>
    <w:uiPriority w:val="99"/>
    <w:unhideWhenUsed/>
    <w:rsid w:val="00633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045089">
      <w:bodyDiv w:val="1"/>
      <w:marLeft w:val="0"/>
      <w:marRight w:val="0"/>
      <w:marTop w:val="0"/>
      <w:marBottom w:val="0"/>
      <w:divBdr>
        <w:top w:val="none" w:sz="0" w:space="0" w:color="auto"/>
        <w:left w:val="none" w:sz="0" w:space="0" w:color="auto"/>
        <w:bottom w:val="none" w:sz="0" w:space="0" w:color="auto"/>
        <w:right w:val="none" w:sz="0" w:space="0" w:color="auto"/>
      </w:divBdr>
      <w:divsChild>
        <w:div w:id="1427262240">
          <w:marLeft w:val="675"/>
          <w:marRight w:val="675"/>
          <w:marTop w:val="0"/>
          <w:marBottom w:val="225"/>
          <w:divBdr>
            <w:top w:val="none" w:sz="0" w:space="0" w:color="auto"/>
            <w:left w:val="none" w:sz="0" w:space="0" w:color="auto"/>
            <w:bottom w:val="none" w:sz="0" w:space="0" w:color="auto"/>
            <w:right w:val="none" w:sz="0" w:space="0" w:color="auto"/>
          </w:divBdr>
          <w:divsChild>
            <w:div w:id="112396353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hgodfrey@uncc.edu</dc:creator>
  <cp:keywords/>
  <dc:description/>
  <cp:lastModifiedBy>hgodfrey@uncc.edu</cp:lastModifiedBy>
  <cp:revision>2</cp:revision>
  <dcterms:created xsi:type="dcterms:W3CDTF">2017-06-18T02:26:00Z</dcterms:created>
  <dcterms:modified xsi:type="dcterms:W3CDTF">2017-06-18T02:43:00Z</dcterms:modified>
</cp:coreProperties>
</file>