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333A9" w14:textId="4BF3BBBE" w:rsidR="00FA2F64" w:rsidRPr="00FA2F64" w:rsidRDefault="00FA2F64" w:rsidP="00FA2F64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</w:rPr>
      </w:pPr>
      <w:r w:rsidRPr="00FA2F64">
        <w:rPr>
          <w:rFonts w:ascii="Calibri" w:eastAsia="Times New Roman" w:hAnsi="Calibri" w:cs="Times New Roman"/>
          <w:b/>
          <w:sz w:val="28"/>
          <w:szCs w:val="24"/>
        </w:rPr>
        <w:t>Stock Options</w:t>
      </w:r>
      <w:r>
        <w:rPr>
          <w:rFonts w:ascii="Calibri" w:eastAsia="Times New Roman" w:hAnsi="Calibri" w:cs="Times New Roman"/>
          <w:b/>
          <w:sz w:val="28"/>
          <w:szCs w:val="24"/>
        </w:rPr>
        <w:t xml:space="preserve"> (Svoboda-TCM-20016-235)</w:t>
      </w:r>
      <w:r w:rsidR="007B72F3">
        <w:rPr>
          <w:rFonts w:ascii="Calibri" w:eastAsia="Times New Roman" w:hAnsi="Calibri" w:cs="Times New Roman"/>
          <w:b/>
          <w:sz w:val="28"/>
          <w:szCs w:val="24"/>
        </w:rPr>
        <w:t xml:space="preserve"> </w:t>
      </w:r>
      <w:bookmarkStart w:id="0" w:name="_GoBack"/>
      <w:bookmarkEnd w:id="0"/>
    </w:p>
    <w:p w14:paraId="3AD18973" w14:textId="77777777" w:rsidR="00FA2F64" w:rsidRPr="00A50190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b/>
          <w:sz w:val="28"/>
          <w:szCs w:val="24"/>
          <w:u w:val="single"/>
        </w:rPr>
      </w:pPr>
      <w:r w:rsidRPr="00A50190">
        <w:rPr>
          <w:rFonts w:ascii="Calibri" w:eastAsia="Times New Roman" w:hAnsi="Calibri" w:cs="Times New Roman"/>
          <w:b/>
          <w:sz w:val="28"/>
          <w:szCs w:val="24"/>
          <w:u w:val="single"/>
        </w:rPr>
        <w:t>Non-qualified Stock Options</w:t>
      </w:r>
    </w:p>
    <w:p w14:paraId="1392DD51" w14:textId="77777777" w:rsidR="00FA2F64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sz w:val="28"/>
          <w:szCs w:val="24"/>
        </w:rPr>
      </w:pPr>
      <w:r w:rsidRPr="00FA2F64">
        <w:rPr>
          <w:rFonts w:ascii="Calibri" w:eastAsia="Times New Roman" w:hAnsi="Calibri" w:cs="Times New Roman"/>
          <w:b/>
          <w:sz w:val="28"/>
          <w:szCs w:val="24"/>
        </w:rPr>
        <w:t>Generally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, the income </w:t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 xml:space="preserve">tax treatment of </w:t>
      </w:r>
      <w:r>
        <w:rPr>
          <w:rFonts w:ascii="Calibri" w:eastAsia="Times New Roman" w:hAnsi="Calibri" w:cs="Times New Roman"/>
          <w:b/>
          <w:sz w:val="28"/>
          <w:szCs w:val="24"/>
        </w:rPr>
        <w:br/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>the grant of an option to purchase stock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</w:t>
      </w:r>
      <w:r>
        <w:rPr>
          <w:rFonts w:ascii="Calibri" w:eastAsia="Times New Roman" w:hAnsi="Calibri" w:cs="Times New Roman"/>
          <w:sz w:val="28"/>
          <w:szCs w:val="24"/>
        </w:rPr>
        <w:br/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in connection with the performance of services, and the </w:t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 xml:space="preserve">transfer of stock </w:t>
      </w:r>
      <w:r>
        <w:rPr>
          <w:rFonts w:ascii="Calibri" w:eastAsia="Times New Roman" w:hAnsi="Calibri" w:cs="Times New Roman"/>
          <w:b/>
          <w:sz w:val="28"/>
          <w:szCs w:val="24"/>
        </w:rPr>
        <w:br/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 xml:space="preserve">pursuant to the exercise of such an </w:t>
      </w:r>
      <w:r>
        <w:rPr>
          <w:rFonts w:ascii="Calibri" w:eastAsia="Times New Roman" w:hAnsi="Calibri" w:cs="Times New Roman"/>
          <w:b/>
          <w:sz w:val="28"/>
          <w:szCs w:val="24"/>
        </w:rPr>
        <w:br/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>option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, is determined under section 83(a) and the regulations thereunder. </w:t>
      </w:r>
    </w:p>
    <w:p w14:paraId="04412C6B" w14:textId="77777777" w:rsidR="00FA2F64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sz w:val="28"/>
          <w:szCs w:val="24"/>
        </w:rPr>
      </w:pPr>
      <w:r w:rsidRPr="00FA2F64">
        <w:rPr>
          <w:rFonts w:ascii="Calibri" w:eastAsia="Times New Roman" w:hAnsi="Calibri" w:cs="Times New Roman"/>
          <w:sz w:val="28"/>
          <w:szCs w:val="24"/>
        </w:rPr>
        <w:t>Such stock options are known as “nonqualified stock options” or “</w:t>
      </w:r>
      <w:proofErr w:type="spellStart"/>
      <w:r w:rsidRPr="00FA2F64">
        <w:rPr>
          <w:rFonts w:ascii="Calibri" w:eastAsia="Times New Roman" w:hAnsi="Calibri" w:cs="Times New Roman"/>
          <w:sz w:val="28"/>
          <w:szCs w:val="24"/>
        </w:rPr>
        <w:t>nonstatutory</w:t>
      </w:r>
      <w:proofErr w:type="spellEnd"/>
      <w:r w:rsidRPr="00FA2F64">
        <w:rPr>
          <w:rFonts w:ascii="Calibri" w:eastAsia="Times New Roman" w:hAnsi="Calibri" w:cs="Times New Roman"/>
          <w:sz w:val="28"/>
          <w:szCs w:val="24"/>
        </w:rPr>
        <w:t xml:space="preserve"> stock options". </w:t>
      </w:r>
    </w:p>
    <w:p w14:paraId="5351BCFE" w14:textId="77777777" w:rsidR="00FA2F64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sz w:val="28"/>
          <w:szCs w:val="24"/>
        </w:rPr>
      </w:pPr>
      <w:r w:rsidRPr="00FA2F64">
        <w:rPr>
          <w:rFonts w:ascii="Calibri" w:eastAsia="Times New Roman" w:hAnsi="Calibri" w:cs="Times New Roman"/>
          <w:sz w:val="28"/>
          <w:szCs w:val="24"/>
        </w:rPr>
        <w:t xml:space="preserve">The receipt of a nonqualified stock </w:t>
      </w:r>
      <w:r w:rsidR="00A50190">
        <w:rPr>
          <w:rFonts w:ascii="Calibri" w:eastAsia="Times New Roman" w:hAnsi="Calibri" w:cs="Times New Roman"/>
          <w:sz w:val="28"/>
          <w:szCs w:val="24"/>
        </w:rPr>
        <w:br/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option does not generate income in </w:t>
      </w:r>
      <w:r w:rsidR="00A50190">
        <w:rPr>
          <w:rFonts w:ascii="Calibri" w:eastAsia="Times New Roman" w:hAnsi="Calibri" w:cs="Times New Roman"/>
          <w:sz w:val="28"/>
          <w:szCs w:val="24"/>
        </w:rPr>
        <w:br/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the recipient unless the option has a </w:t>
      </w:r>
      <w:r w:rsidR="00A50190">
        <w:rPr>
          <w:rFonts w:ascii="Calibri" w:eastAsia="Times New Roman" w:hAnsi="Calibri" w:cs="Times New Roman"/>
          <w:sz w:val="28"/>
          <w:szCs w:val="24"/>
        </w:rPr>
        <w:br/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readily ascertainable fair market value.  </w:t>
      </w:r>
    </w:p>
    <w:p w14:paraId="01CC37FD" w14:textId="77777777" w:rsidR="00A50190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szCs w:val="24"/>
        </w:rPr>
      </w:pPr>
      <w:r w:rsidRPr="00FA2F64">
        <w:rPr>
          <w:rFonts w:ascii="Calibri" w:eastAsia="Times New Roman" w:hAnsi="Calibri" w:cs="Times New Roman"/>
          <w:sz w:val="28"/>
          <w:szCs w:val="24"/>
        </w:rPr>
        <w:t>Instead, the recipient's exercise of the nonqualified option to acquire stock gives rise to gross</w:t>
      </w:r>
      <w:r>
        <w:rPr>
          <w:rFonts w:ascii="Calibri" w:eastAsia="Times New Roman" w:hAnsi="Calibri" w:cs="Times New Roman"/>
          <w:sz w:val="28"/>
          <w:szCs w:val="24"/>
        </w:rPr>
        <w:t xml:space="preserve"> income at the time of exercise.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</w:t>
      </w:r>
      <w:r>
        <w:rPr>
          <w:rFonts w:ascii="Calibri" w:eastAsia="Times New Roman" w:hAnsi="Calibri" w:cs="Times New Roman"/>
          <w:sz w:val="28"/>
          <w:szCs w:val="24"/>
        </w:rPr>
        <w:t xml:space="preserve">The amount of income recognized by the employee is 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equal to the amount by which the </w:t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>fair market value of the stock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</w:t>
      </w:r>
      <w:r w:rsidRPr="00FA2F64">
        <w:rPr>
          <w:rFonts w:ascii="Calibri" w:eastAsia="Times New Roman" w:hAnsi="Calibri" w:cs="Times New Roman"/>
          <w:sz w:val="28"/>
          <w:szCs w:val="24"/>
          <w:u w:val="single"/>
        </w:rPr>
        <w:t>at the exercise date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</w:t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>exceeds the option price that he or she pays.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</w:t>
      </w:r>
      <w:r w:rsidRPr="00A50190">
        <w:rPr>
          <w:rFonts w:ascii="Calibri" w:eastAsia="Times New Roman" w:hAnsi="Calibri" w:cs="Times New Roman"/>
          <w:szCs w:val="24"/>
        </w:rPr>
        <w:t>Sec. 83(a)</w:t>
      </w:r>
      <w:r w:rsidRPr="00FA2F64">
        <w:rPr>
          <w:rFonts w:ascii="Calibri" w:eastAsia="Times New Roman" w:hAnsi="Calibri" w:cs="Times New Roman"/>
          <w:szCs w:val="24"/>
        </w:rPr>
        <w:t xml:space="preserve">; </w:t>
      </w:r>
      <w:r w:rsidRPr="00FA2F64">
        <w:rPr>
          <w:rFonts w:ascii="Calibri" w:eastAsia="Times New Roman" w:hAnsi="Calibri" w:cs="Times New Roman"/>
          <w:i/>
          <w:iCs/>
          <w:szCs w:val="24"/>
        </w:rPr>
        <w:t>Racine v. Commissioner</w:t>
      </w:r>
      <w:r w:rsidRPr="00FA2F64">
        <w:rPr>
          <w:rFonts w:ascii="Calibri" w:eastAsia="Times New Roman" w:hAnsi="Calibri" w:cs="Times New Roman"/>
          <w:szCs w:val="24"/>
        </w:rPr>
        <w:t xml:space="preserve"> </w:t>
      </w:r>
      <w:r w:rsidRPr="00A50190">
        <w:rPr>
          <w:rFonts w:ascii="Calibri" w:eastAsia="Times New Roman" w:hAnsi="Calibri" w:cs="Times New Roman"/>
          <w:szCs w:val="24"/>
        </w:rPr>
        <w:t>[Dec. 56,583(M)]</w:t>
      </w:r>
      <w:r w:rsidRPr="00FA2F64">
        <w:rPr>
          <w:rFonts w:ascii="Calibri" w:eastAsia="Times New Roman" w:hAnsi="Calibri" w:cs="Times New Roman"/>
          <w:szCs w:val="24"/>
        </w:rPr>
        <w:t xml:space="preserve">, T.C. Memo. 2006-162; </w:t>
      </w:r>
      <w:r w:rsidRPr="00A50190">
        <w:rPr>
          <w:rFonts w:ascii="Calibri" w:eastAsia="Times New Roman" w:hAnsi="Calibri" w:cs="Times New Roman"/>
          <w:szCs w:val="24"/>
        </w:rPr>
        <w:t>sec. 1.83-7(a)</w:t>
      </w:r>
      <w:r w:rsidRPr="00FA2F64">
        <w:rPr>
          <w:rFonts w:ascii="Calibri" w:eastAsia="Times New Roman" w:hAnsi="Calibri" w:cs="Times New Roman"/>
          <w:szCs w:val="24"/>
        </w:rPr>
        <w:t xml:space="preserve">, Income Tax </w:t>
      </w:r>
      <w:proofErr w:type="spellStart"/>
      <w:r w:rsidRPr="00FA2F64">
        <w:rPr>
          <w:rFonts w:ascii="Calibri" w:eastAsia="Times New Roman" w:hAnsi="Calibri" w:cs="Times New Roman"/>
          <w:szCs w:val="24"/>
        </w:rPr>
        <w:t>Regs</w:t>
      </w:r>
      <w:proofErr w:type="spellEnd"/>
      <w:r w:rsidRPr="00FA2F64">
        <w:rPr>
          <w:rFonts w:ascii="Calibri" w:eastAsia="Times New Roman" w:hAnsi="Calibri" w:cs="Times New Roman"/>
          <w:szCs w:val="24"/>
        </w:rPr>
        <w:t xml:space="preserve">. </w:t>
      </w:r>
      <w:r w:rsidRPr="00A50190">
        <w:rPr>
          <w:rFonts w:ascii="Calibri" w:eastAsia="Times New Roman" w:hAnsi="Calibri" w:cs="Times New Roman"/>
          <w:szCs w:val="24"/>
        </w:rPr>
        <w:t xml:space="preserve"> </w:t>
      </w:r>
    </w:p>
    <w:p w14:paraId="128CA4FA" w14:textId="77777777" w:rsidR="00FA2F64" w:rsidRPr="00A50190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sz w:val="24"/>
          <w:szCs w:val="24"/>
        </w:rPr>
      </w:pPr>
      <w:r w:rsidRPr="00A50190">
        <w:rPr>
          <w:rFonts w:ascii="Calibri" w:eastAsia="Times New Roman" w:hAnsi="Calibri" w:cs="Times New Roman"/>
          <w:sz w:val="24"/>
          <w:szCs w:val="24"/>
        </w:rPr>
        <w:t>[Instructor note: this assumes there is no contingency that could cause the employee to have to sell the stock back to the company at cost – such as the requirement that the employee remain an employee for some time after exercise of the option.]</w:t>
      </w:r>
    </w:p>
    <w:p w14:paraId="38A1C9EA" w14:textId="77777777" w:rsidR="00FA2F64" w:rsidRPr="00FA2F64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sz w:val="24"/>
          <w:szCs w:val="24"/>
        </w:rPr>
      </w:pPr>
      <w:r w:rsidRPr="00FA2F64">
        <w:rPr>
          <w:rFonts w:ascii="Calibri" w:eastAsia="Times New Roman" w:hAnsi="Calibri" w:cs="Times New Roman"/>
          <w:sz w:val="28"/>
          <w:szCs w:val="24"/>
        </w:rPr>
        <w:t xml:space="preserve">The recipient thereupon obtains a </w:t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>basis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in the acquired stock equal to the </w:t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>option price plus any amount includible in gross income as a result of the option exercise.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</w:t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>Any gain or loss upon the subsequent sale of the stock will be capital in character.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</w:t>
      </w:r>
      <w:r w:rsidRPr="00FA2F64">
        <w:rPr>
          <w:rFonts w:ascii="Calibri" w:eastAsia="Times New Roman" w:hAnsi="Calibri" w:cs="Times New Roman"/>
          <w:sz w:val="24"/>
          <w:szCs w:val="24"/>
        </w:rPr>
        <w:t xml:space="preserve">Secs. 1001, 1221(a); sec. 1.83-4(b)(1), Income Tax </w:t>
      </w:r>
      <w:proofErr w:type="spellStart"/>
      <w:r w:rsidRPr="00FA2F64">
        <w:rPr>
          <w:rFonts w:ascii="Calibri" w:eastAsia="Times New Roman" w:hAnsi="Calibri" w:cs="Times New Roman"/>
          <w:sz w:val="24"/>
          <w:szCs w:val="24"/>
        </w:rPr>
        <w:t>Regs</w:t>
      </w:r>
      <w:proofErr w:type="spellEnd"/>
      <w:r w:rsidRPr="00FA2F64">
        <w:rPr>
          <w:rFonts w:ascii="Calibri" w:eastAsia="Times New Roman" w:hAnsi="Calibri" w:cs="Times New Roman"/>
          <w:sz w:val="24"/>
          <w:szCs w:val="24"/>
        </w:rPr>
        <w:t>.</w:t>
      </w:r>
    </w:p>
    <w:p w14:paraId="31CBDE3D" w14:textId="77777777" w:rsidR="00FA2F64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b/>
          <w:sz w:val="28"/>
          <w:szCs w:val="24"/>
        </w:rPr>
      </w:pPr>
    </w:p>
    <w:p w14:paraId="7519A7E4" w14:textId="77777777" w:rsidR="00A50190" w:rsidRDefault="00A50190" w:rsidP="00FA2F64">
      <w:pPr>
        <w:spacing w:before="120" w:after="0" w:line="240" w:lineRule="atLeast"/>
        <w:rPr>
          <w:rFonts w:ascii="Calibri" w:eastAsia="Times New Roman" w:hAnsi="Calibri" w:cs="Times New Roman"/>
          <w:b/>
          <w:sz w:val="28"/>
          <w:szCs w:val="24"/>
          <w:u w:val="single"/>
        </w:rPr>
      </w:pPr>
    </w:p>
    <w:p w14:paraId="744ADEF2" w14:textId="77777777" w:rsidR="00FA2F64" w:rsidRPr="00A50190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b/>
          <w:sz w:val="28"/>
          <w:szCs w:val="24"/>
          <w:u w:val="single"/>
        </w:rPr>
      </w:pPr>
      <w:r w:rsidRPr="00A50190">
        <w:rPr>
          <w:rFonts w:ascii="Calibri" w:eastAsia="Times New Roman" w:hAnsi="Calibri" w:cs="Times New Roman"/>
          <w:b/>
          <w:sz w:val="28"/>
          <w:szCs w:val="24"/>
          <w:u w:val="single"/>
        </w:rPr>
        <w:t>Incentive Options</w:t>
      </w:r>
    </w:p>
    <w:p w14:paraId="7757D356" w14:textId="77777777" w:rsidR="00FA2F64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sz w:val="28"/>
          <w:szCs w:val="24"/>
        </w:rPr>
      </w:pPr>
      <w:r w:rsidRPr="00FA2F64">
        <w:rPr>
          <w:rFonts w:ascii="Calibri" w:eastAsia="Times New Roman" w:hAnsi="Calibri" w:cs="Times New Roman"/>
          <w:sz w:val="28"/>
          <w:szCs w:val="24"/>
        </w:rPr>
        <w:t xml:space="preserve">Certain employee stock options qualify for alternative treatment under the provisions of section 421. </w:t>
      </w:r>
    </w:p>
    <w:p w14:paraId="7F5379F5" w14:textId="77777777" w:rsidR="00FA2F64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sz w:val="28"/>
          <w:szCs w:val="24"/>
        </w:rPr>
      </w:pPr>
      <w:r w:rsidRPr="00FA2F64">
        <w:rPr>
          <w:rFonts w:ascii="Calibri" w:eastAsia="Times New Roman" w:hAnsi="Calibri" w:cs="Times New Roman"/>
          <w:sz w:val="28"/>
          <w:szCs w:val="24"/>
        </w:rPr>
        <w:t xml:space="preserve">Specifically, section 421 applies to options that qualify as </w:t>
      </w:r>
      <w:r w:rsidRPr="00A50190">
        <w:rPr>
          <w:rFonts w:ascii="Calibri" w:eastAsia="Times New Roman" w:hAnsi="Calibri" w:cs="Times New Roman"/>
          <w:b/>
          <w:sz w:val="28"/>
          <w:szCs w:val="24"/>
        </w:rPr>
        <w:t>incentive stock options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(ISOs) under section 422 (and to options that are issued pursuant to an employee stock purchase plan as defined in section 423). </w:t>
      </w:r>
    </w:p>
    <w:p w14:paraId="407AA59D" w14:textId="77777777" w:rsidR="00FA2F64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sz w:val="28"/>
          <w:szCs w:val="24"/>
        </w:rPr>
      </w:pPr>
      <w:r w:rsidRPr="00FA2F64">
        <w:rPr>
          <w:rFonts w:ascii="Calibri" w:eastAsia="Times New Roman" w:hAnsi="Calibri" w:cs="Times New Roman"/>
          <w:sz w:val="28"/>
          <w:szCs w:val="24"/>
        </w:rPr>
        <w:t xml:space="preserve">When the applicable section 422 requirements for an ISO are met, </w:t>
      </w:r>
      <w:r>
        <w:rPr>
          <w:rFonts w:ascii="Calibri" w:eastAsia="Times New Roman" w:hAnsi="Calibri" w:cs="Times New Roman"/>
          <w:sz w:val="28"/>
          <w:szCs w:val="24"/>
        </w:rPr>
        <w:br/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 xml:space="preserve">section 421 provides that </w:t>
      </w:r>
      <w:r w:rsidRPr="00A50190">
        <w:rPr>
          <w:rFonts w:ascii="Calibri" w:eastAsia="Times New Roman" w:hAnsi="Calibri" w:cs="Times New Roman"/>
          <w:b/>
          <w:sz w:val="28"/>
          <w:szCs w:val="24"/>
          <w:u w:val="single"/>
        </w:rPr>
        <w:t>no income shall result at the time of the transfer of stock upon the exercise of the option.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</w:t>
      </w:r>
      <w:r w:rsidRPr="00FA2F64">
        <w:rPr>
          <w:rFonts w:ascii="Calibri" w:eastAsia="Times New Roman" w:hAnsi="Calibri" w:cs="Times New Roman"/>
          <w:b/>
          <w:sz w:val="28"/>
          <w:szCs w:val="24"/>
        </w:rPr>
        <w:t>Sec. 421(a)(1).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</w:t>
      </w:r>
    </w:p>
    <w:p w14:paraId="3C304A62" w14:textId="77777777" w:rsidR="00FA2F64" w:rsidRPr="00A50190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sz w:val="24"/>
          <w:szCs w:val="24"/>
        </w:rPr>
      </w:pPr>
      <w:r w:rsidRPr="00FA2F64">
        <w:rPr>
          <w:rFonts w:ascii="Calibri" w:eastAsia="Times New Roman" w:hAnsi="Calibri" w:cs="Times New Roman"/>
          <w:sz w:val="28"/>
          <w:szCs w:val="24"/>
        </w:rPr>
        <w:t xml:space="preserve">The stock acquired through the ISO exercise will generally qualify as a capital asset in </w:t>
      </w:r>
      <w:r>
        <w:rPr>
          <w:rFonts w:ascii="Calibri" w:eastAsia="Times New Roman" w:hAnsi="Calibri" w:cs="Times New Roman"/>
          <w:sz w:val="28"/>
          <w:szCs w:val="24"/>
        </w:rPr>
        <w:t xml:space="preserve">the hands of the employee. </w:t>
      </w:r>
      <w:r w:rsidRPr="00A50190">
        <w:rPr>
          <w:rFonts w:ascii="Calibri" w:eastAsia="Times New Roman" w:hAnsi="Calibri" w:cs="Times New Roman"/>
          <w:b/>
          <w:sz w:val="28"/>
          <w:szCs w:val="24"/>
          <w:u w:val="single"/>
        </w:rPr>
        <w:t>The difference</w:t>
      </w:r>
      <w:r w:rsidRPr="00A50190">
        <w:rPr>
          <w:rFonts w:ascii="Calibri" w:eastAsia="Times New Roman" w:hAnsi="Calibri" w:cs="Times New Roman"/>
          <w:sz w:val="28"/>
          <w:szCs w:val="24"/>
          <w:u w:val="single"/>
        </w:rPr>
        <w:t xml:space="preserve"> </w:t>
      </w:r>
      <w:r w:rsidRPr="00A50190">
        <w:rPr>
          <w:rFonts w:ascii="Calibri" w:eastAsia="Times New Roman" w:hAnsi="Calibri" w:cs="Times New Roman"/>
          <w:b/>
          <w:sz w:val="28"/>
          <w:szCs w:val="24"/>
          <w:u w:val="single"/>
        </w:rPr>
        <w:t>between the amount received on disposition of the stock and the employee's basis</w:t>
      </w:r>
      <w:r w:rsidRPr="00A50190">
        <w:rPr>
          <w:rFonts w:ascii="Calibri" w:eastAsia="Times New Roman" w:hAnsi="Calibri" w:cs="Times New Roman"/>
          <w:sz w:val="28"/>
          <w:szCs w:val="24"/>
          <w:u w:val="single"/>
        </w:rPr>
        <w:t xml:space="preserve"> will be capital in character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. </w:t>
      </w:r>
      <w:r w:rsidRPr="00A50190">
        <w:rPr>
          <w:rFonts w:ascii="Calibri" w:eastAsia="Times New Roman" w:hAnsi="Calibri" w:cs="Times New Roman"/>
          <w:sz w:val="24"/>
          <w:szCs w:val="24"/>
        </w:rPr>
        <w:t xml:space="preserve">Secs. 1001(a), 1221 and 1222; </w:t>
      </w:r>
      <w:r w:rsidRPr="00A50190">
        <w:rPr>
          <w:rFonts w:ascii="Calibri" w:eastAsia="Times New Roman" w:hAnsi="Calibri" w:cs="Times New Roman"/>
          <w:i/>
          <w:iCs/>
          <w:sz w:val="24"/>
          <w:szCs w:val="24"/>
        </w:rPr>
        <w:t>Spitz v. Commissioner</w:t>
      </w:r>
      <w:r w:rsidRPr="00A50190">
        <w:rPr>
          <w:rFonts w:ascii="Calibri" w:eastAsia="Times New Roman" w:hAnsi="Calibri" w:cs="Times New Roman"/>
          <w:sz w:val="24"/>
          <w:szCs w:val="24"/>
        </w:rPr>
        <w:t xml:space="preserve"> [Dec. 56,589(M)], T.C. Memo. 2006-168; sec. 14a.422A-1, Q&amp;A-1, Temporary Income Tax </w:t>
      </w:r>
      <w:proofErr w:type="spellStart"/>
      <w:r w:rsidRPr="00A50190">
        <w:rPr>
          <w:rFonts w:ascii="Calibri" w:eastAsia="Times New Roman" w:hAnsi="Calibri" w:cs="Times New Roman"/>
          <w:sz w:val="24"/>
          <w:szCs w:val="24"/>
        </w:rPr>
        <w:t>Regs</w:t>
      </w:r>
      <w:proofErr w:type="spellEnd"/>
      <w:r w:rsidRPr="00A50190">
        <w:rPr>
          <w:rFonts w:ascii="Calibri" w:eastAsia="Times New Roman" w:hAnsi="Calibri" w:cs="Times New Roman"/>
          <w:sz w:val="24"/>
          <w:szCs w:val="24"/>
        </w:rPr>
        <w:t xml:space="preserve">., 46 Fed. Reg. 61840 (Dec. 21, 1981). </w:t>
      </w:r>
    </w:p>
    <w:p w14:paraId="23A25CFB" w14:textId="77777777" w:rsidR="006547D9" w:rsidRDefault="00FA2F64" w:rsidP="00FA2F64">
      <w:pPr>
        <w:spacing w:before="120" w:after="0" w:line="240" w:lineRule="atLeast"/>
        <w:rPr>
          <w:rFonts w:ascii="Calibri" w:eastAsia="Times New Roman" w:hAnsi="Calibri" w:cs="Times New Roman"/>
          <w:sz w:val="24"/>
          <w:szCs w:val="24"/>
        </w:rPr>
      </w:pPr>
      <w:r w:rsidRPr="00FA2F64">
        <w:rPr>
          <w:rFonts w:ascii="Calibri" w:eastAsia="Times New Roman" w:hAnsi="Calibri" w:cs="Times New Roman"/>
          <w:b/>
          <w:sz w:val="28"/>
          <w:szCs w:val="24"/>
        </w:rPr>
        <w:t>However,</w:t>
      </w:r>
      <w:r w:rsidRPr="00FA2F64">
        <w:rPr>
          <w:rFonts w:ascii="Calibri" w:eastAsia="Times New Roman" w:hAnsi="Calibri" w:cs="Times New Roman"/>
          <w:sz w:val="28"/>
          <w:szCs w:val="24"/>
        </w:rPr>
        <w:t xml:space="preserve"> if the stock acquired pursuant to an ISO is disposed of by the option holder within 2 years of the granting of the option or within 1 year after the stock's transfer to him, section 421 does not apply, and the stock's acquisition and sale are taxed under the provisions of section 83. </w:t>
      </w:r>
      <w:r w:rsidRPr="00FA2F64">
        <w:rPr>
          <w:rFonts w:ascii="Calibri" w:eastAsia="Times New Roman" w:hAnsi="Calibri" w:cs="Times New Roman"/>
          <w:sz w:val="24"/>
          <w:szCs w:val="24"/>
        </w:rPr>
        <w:t xml:space="preserve">Sec. 422(a)(1); </w:t>
      </w:r>
      <w:r w:rsidRPr="00FA2F64">
        <w:rPr>
          <w:rFonts w:ascii="Calibri" w:eastAsia="Times New Roman" w:hAnsi="Calibri" w:cs="Times New Roman"/>
          <w:i/>
          <w:iCs/>
          <w:sz w:val="24"/>
          <w:szCs w:val="24"/>
        </w:rPr>
        <w:t>Spitz v. Commissioner, supra;</w:t>
      </w:r>
      <w:r w:rsidRPr="00FA2F64">
        <w:rPr>
          <w:rFonts w:ascii="Calibri" w:eastAsia="Times New Roman" w:hAnsi="Calibri" w:cs="Times New Roman"/>
          <w:sz w:val="24"/>
          <w:szCs w:val="24"/>
        </w:rPr>
        <w:t xml:space="preserve"> sec. 14a.422A-1, Q&amp;A-2(a), Temporary Income Tax </w:t>
      </w:r>
      <w:proofErr w:type="spellStart"/>
      <w:r w:rsidRPr="00FA2F64">
        <w:rPr>
          <w:rFonts w:ascii="Calibri" w:eastAsia="Times New Roman" w:hAnsi="Calibri" w:cs="Times New Roman"/>
          <w:sz w:val="24"/>
          <w:szCs w:val="24"/>
        </w:rPr>
        <w:t>Regs</w:t>
      </w:r>
      <w:proofErr w:type="spellEnd"/>
      <w:r w:rsidRPr="00FA2F64">
        <w:rPr>
          <w:rFonts w:ascii="Calibri" w:eastAsia="Times New Roman" w:hAnsi="Calibri" w:cs="Times New Roman"/>
          <w:sz w:val="24"/>
          <w:szCs w:val="24"/>
        </w:rPr>
        <w:t>., 46 Fed. Reg. 61840 (Dec. 21, 1981).</w:t>
      </w:r>
    </w:p>
    <w:p w14:paraId="26D5D8AF" w14:textId="77777777" w:rsidR="00FA2F64" w:rsidRDefault="00A50190" w:rsidP="00FA2F64">
      <w:pPr>
        <w:spacing w:before="120" w:after="0" w:line="240" w:lineRule="atLeast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There is limit </w:t>
      </w:r>
      <w:r w:rsidR="007D549C">
        <w:rPr>
          <w:rFonts w:ascii="Calibri" w:eastAsia="Times New Roman" w:hAnsi="Calibri" w:cs="Times New Roman"/>
          <w:sz w:val="24"/>
          <w:szCs w:val="24"/>
        </w:rPr>
        <w:t>(</w:t>
      </w:r>
      <w:r>
        <w:rPr>
          <w:rFonts w:ascii="Calibri" w:eastAsia="Times New Roman" w:hAnsi="Calibri" w:cs="Times New Roman"/>
          <w:sz w:val="24"/>
          <w:szCs w:val="24"/>
        </w:rPr>
        <w:t>$100,000) on the amount of Incent</w:t>
      </w:r>
      <w:r w:rsidR="007D549C">
        <w:rPr>
          <w:rFonts w:ascii="Calibri" w:eastAsia="Times New Roman" w:hAnsi="Calibri" w:cs="Times New Roman"/>
          <w:sz w:val="24"/>
          <w:szCs w:val="24"/>
        </w:rPr>
        <w:t>ive Options that may be exercis</w:t>
      </w:r>
      <w:r>
        <w:rPr>
          <w:rFonts w:ascii="Calibri" w:eastAsia="Times New Roman" w:hAnsi="Calibri" w:cs="Times New Roman"/>
          <w:sz w:val="24"/>
          <w:szCs w:val="24"/>
        </w:rPr>
        <w:t>able. Limit on term is 10 years.</w:t>
      </w:r>
      <w:r w:rsidR="007D549C">
        <w:rPr>
          <w:rFonts w:ascii="Calibri" w:eastAsia="Times New Roman" w:hAnsi="Calibri" w:cs="Times New Roman"/>
          <w:sz w:val="24"/>
          <w:szCs w:val="24"/>
        </w:rPr>
        <w:t xml:space="preserve"> Not an ISO if conditions are not met.</w:t>
      </w:r>
    </w:p>
    <w:p w14:paraId="74E680B2" w14:textId="77777777" w:rsidR="00FA2F64" w:rsidRPr="00FA2F64" w:rsidRDefault="00FA2F64" w:rsidP="00FA2F64">
      <w:pPr>
        <w:spacing w:before="120" w:after="0" w:line="240" w:lineRule="atLeast"/>
        <w:rPr>
          <w:rFonts w:ascii="Calibri" w:hAnsi="Calibri"/>
          <w:sz w:val="24"/>
        </w:rPr>
      </w:pPr>
      <w:r>
        <w:rPr>
          <w:rFonts w:ascii="Calibri" w:eastAsia="Times New Roman" w:hAnsi="Calibri" w:cs="Times New Roman"/>
          <w:sz w:val="28"/>
          <w:szCs w:val="24"/>
        </w:rPr>
        <w:t>Need to add Sec. 83(b) and AMT</w:t>
      </w:r>
    </w:p>
    <w:sectPr w:rsidR="00FA2F64" w:rsidRPr="00FA2F64" w:rsidSect="00855BDF">
      <w:footerReference w:type="default" r:id="rId6"/>
      <w:pgSz w:w="12240" w:h="15840" w:code="1"/>
      <w:pgMar w:top="720" w:right="720" w:bottom="720" w:left="864" w:header="432" w:footer="432" w:gutter="0"/>
      <w:cols w:num="2" w:space="3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55FF4" w14:textId="77777777" w:rsidR="00A47F86" w:rsidRDefault="00A47F86" w:rsidP="00FA2F64">
      <w:pPr>
        <w:spacing w:after="0" w:line="240" w:lineRule="auto"/>
      </w:pPr>
      <w:r>
        <w:separator/>
      </w:r>
    </w:p>
  </w:endnote>
  <w:endnote w:type="continuationSeparator" w:id="0">
    <w:p w14:paraId="43EED55A" w14:textId="77777777" w:rsidR="00A47F86" w:rsidRDefault="00A47F86" w:rsidP="00FA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EBB2" w14:textId="77777777" w:rsidR="00FA2F64" w:rsidRDefault="00A47F86">
    <w:pPr>
      <w:pStyle w:val="Footer"/>
    </w:pPr>
    <w:fldSimple w:instr=" FILENAME   \* MERGEFORMAT ">
      <w:r w:rsidR="007D549C">
        <w:rPr>
          <w:noProof/>
        </w:rPr>
        <w:t>Stock-Options-Summary-from-Svoboda-Case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0EC52" w14:textId="77777777" w:rsidR="00A47F86" w:rsidRDefault="00A47F86" w:rsidP="00FA2F64">
      <w:pPr>
        <w:spacing w:after="0" w:line="240" w:lineRule="auto"/>
      </w:pPr>
      <w:r>
        <w:separator/>
      </w:r>
    </w:p>
  </w:footnote>
  <w:footnote w:type="continuationSeparator" w:id="0">
    <w:p w14:paraId="4F66EBEA" w14:textId="77777777" w:rsidR="00A47F86" w:rsidRDefault="00A47F86" w:rsidP="00FA2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64"/>
    <w:rsid w:val="00000235"/>
    <w:rsid w:val="00487864"/>
    <w:rsid w:val="004A1DF8"/>
    <w:rsid w:val="007B72F3"/>
    <w:rsid w:val="007D549C"/>
    <w:rsid w:val="00855BDF"/>
    <w:rsid w:val="008F1FB3"/>
    <w:rsid w:val="009067B6"/>
    <w:rsid w:val="00A47F86"/>
    <w:rsid w:val="00A50190"/>
    <w:rsid w:val="00B74432"/>
    <w:rsid w:val="00F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54B0"/>
  <w15:chartTrackingRefBased/>
  <w15:docId w15:val="{AA4A9389-518E-42DD-9F14-AA60A34B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p">
    <w:name w:val="hp"/>
    <w:basedOn w:val="Normal"/>
    <w:rsid w:val="00FA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efaultParagraphFont"/>
    <w:rsid w:val="00FA2F64"/>
  </w:style>
  <w:style w:type="paragraph" w:styleId="Header">
    <w:name w:val="header"/>
    <w:basedOn w:val="Normal"/>
    <w:link w:val="HeaderChar"/>
    <w:uiPriority w:val="99"/>
    <w:unhideWhenUsed/>
    <w:rsid w:val="00FA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64"/>
  </w:style>
  <w:style w:type="paragraph" w:styleId="Footer">
    <w:name w:val="footer"/>
    <w:basedOn w:val="Normal"/>
    <w:link w:val="FooterChar"/>
    <w:uiPriority w:val="99"/>
    <w:unhideWhenUsed/>
    <w:rsid w:val="00FA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64"/>
  </w:style>
  <w:style w:type="paragraph" w:styleId="BalloonText">
    <w:name w:val="Balloon Text"/>
    <w:basedOn w:val="Normal"/>
    <w:link w:val="BalloonTextChar"/>
    <w:uiPriority w:val="99"/>
    <w:semiHidden/>
    <w:unhideWhenUsed/>
    <w:rsid w:val="007D5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hgodfrey@uncc.edu</dc:creator>
  <cp:keywords/>
  <dc:description/>
  <cp:lastModifiedBy>hgodfrey@uncc.edu</cp:lastModifiedBy>
  <cp:revision>2</cp:revision>
  <cp:lastPrinted>2016-08-17T16:02:00Z</cp:lastPrinted>
  <dcterms:created xsi:type="dcterms:W3CDTF">2017-06-18T02:12:00Z</dcterms:created>
  <dcterms:modified xsi:type="dcterms:W3CDTF">2017-06-18T02:12:00Z</dcterms:modified>
</cp:coreProperties>
</file>