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24" w:rsidRPr="00AE5B4B" w:rsidRDefault="00100724" w:rsidP="00100724">
      <w:pPr>
        <w:spacing w:line="300" w:lineRule="atLeast"/>
        <w:rPr>
          <w:b/>
          <w:sz w:val="28"/>
          <w:szCs w:val="24"/>
        </w:rPr>
      </w:pPr>
      <w:r w:rsidRPr="00AE5B4B">
        <w:rPr>
          <w:b/>
          <w:sz w:val="28"/>
          <w:szCs w:val="24"/>
        </w:rPr>
        <w:t>Involuntary Conversion</w:t>
      </w:r>
      <w:r w:rsidR="0073234E">
        <w:rPr>
          <w:b/>
          <w:sz w:val="28"/>
          <w:szCs w:val="24"/>
        </w:rPr>
        <w:t xml:space="preserve"> </w:t>
      </w:r>
    </w:p>
    <w:p w:rsidR="00100724" w:rsidRPr="0092554C" w:rsidRDefault="00AE5B4B" w:rsidP="00100724">
      <w:pPr>
        <w:pStyle w:val="BodyText"/>
        <w:spacing w:before="0"/>
        <w:rPr>
          <w:rFonts w:ascii="Times New Roman" w:hAnsi="Times New Roman"/>
          <w:sz w:val="24"/>
          <w:szCs w:val="24"/>
        </w:rPr>
      </w:pPr>
      <w:r w:rsidRPr="0092554C">
        <w:rPr>
          <w:rFonts w:ascii="Times New Roman" w:hAnsi="Times New Roman"/>
          <w:sz w:val="24"/>
          <w:szCs w:val="24"/>
        </w:rPr>
        <w:t>The City of Charlotte</w:t>
      </w:r>
      <w:r w:rsidR="00100724" w:rsidRPr="0092554C">
        <w:rPr>
          <w:rFonts w:ascii="Times New Roman" w:hAnsi="Times New Roman"/>
          <w:sz w:val="24"/>
          <w:szCs w:val="24"/>
        </w:rPr>
        <w:t xml:space="preserve"> has announced that light rail transit will be provided from uptown to the main UNC Charlotte campus. You paid $200,000 for some land a few years ago. It is now worth $550,000. There is no debt on the property. You have been renting your land to the county as a parking lot. Your ultimate goal has been to build apartments on the land.</w:t>
      </w:r>
    </w:p>
    <w:p w:rsidR="00100724" w:rsidRPr="0092554C" w:rsidRDefault="00100724" w:rsidP="00100724">
      <w:pPr>
        <w:pStyle w:val="BodyText"/>
        <w:spacing w:before="0"/>
        <w:rPr>
          <w:rFonts w:ascii="Times New Roman" w:hAnsi="Times New Roman"/>
          <w:sz w:val="24"/>
          <w:szCs w:val="24"/>
        </w:rPr>
      </w:pPr>
      <w:r w:rsidRPr="0092554C">
        <w:rPr>
          <w:rFonts w:ascii="Times New Roman" w:hAnsi="Times New Roman"/>
          <w:sz w:val="24"/>
          <w:szCs w:val="24"/>
        </w:rPr>
        <w:t>Your land is near a location chosen for one of the train stations. The City of Charlotte has condemned your land and will pay you $550,000 f</w:t>
      </w:r>
      <w:r w:rsidR="00AE5B4B" w:rsidRPr="0092554C">
        <w:rPr>
          <w:rFonts w:ascii="Times New Roman" w:hAnsi="Times New Roman"/>
          <w:sz w:val="24"/>
          <w:szCs w:val="24"/>
        </w:rPr>
        <w:t>or the land on December 15, 2015. You intend to purchase</w:t>
      </w:r>
      <w:r w:rsidRPr="0092554C">
        <w:rPr>
          <w:rFonts w:ascii="Times New Roman" w:hAnsi="Times New Roman"/>
          <w:sz w:val="24"/>
          <w:szCs w:val="24"/>
        </w:rPr>
        <w:t xml:space="preserve"> other land near the route of the train track, to be used for an apartment complex you plan to build. </w:t>
      </w:r>
      <w:r w:rsidR="00AE5B4B" w:rsidRPr="0092554C">
        <w:rPr>
          <w:rFonts w:ascii="Times New Roman" w:hAnsi="Times New Roman"/>
          <w:sz w:val="24"/>
          <w:szCs w:val="24"/>
        </w:rPr>
        <w:br/>
      </w:r>
      <w:r w:rsidRPr="0092554C">
        <w:rPr>
          <w:rFonts w:ascii="Times New Roman" w:hAnsi="Times New Roman"/>
          <w:sz w:val="24"/>
          <w:szCs w:val="24"/>
        </w:rPr>
        <w:t>You expect to pay $510,000 for the new land, and comple</w:t>
      </w:r>
      <w:r w:rsidR="00AE5B4B" w:rsidRPr="0092554C">
        <w:rPr>
          <w:rFonts w:ascii="Times New Roman" w:hAnsi="Times New Roman"/>
          <w:sz w:val="24"/>
          <w:szCs w:val="24"/>
        </w:rPr>
        <w:t>te the purchase on March 3, 2016</w:t>
      </w:r>
      <w:r w:rsidRPr="0092554C">
        <w:rPr>
          <w:rFonts w:ascii="Times New Roman" w:hAnsi="Times New Roman"/>
          <w:sz w:val="24"/>
          <w:szCs w:val="24"/>
        </w:rPr>
        <w:t xml:space="preserve">. </w:t>
      </w:r>
    </w:p>
    <w:p w:rsidR="00100724" w:rsidRPr="00AE5B4B" w:rsidRDefault="00AE5B4B" w:rsidP="00AE5B4B">
      <w:pPr>
        <w:pStyle w:val="BodyText"/>
        <w:pBdr>
          <w:top w:val="single" w:sz="18" w:space="1" w:color="auto"/>
        </w:pBdr>
        <w:spacing w:befor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00724" w:rsidRPr="00AE5B4B">
        <w:rPr>
          <w:rFonts w:ascii="Times New Roman" w:hAnsi="Times New Roman"/>
          <w:b/>
          <w:sz w:val="24"/>
          <w:szCs w:val="24"/>
        </w:rPr>
        <w:t>a. What is the amount of gain or loss that you will realize?</w:t>
      </w:r>
      <w:r w:rsidRPr="00AE5B4B">
        <w:rPr>
          <w:rFonts w:ascii="Times New Roman" w:hAnsi="Times New Roman"/>
          <w:b/>
          <w:sz w:val="24"/>
          <w:szCs w:val="24"/>
        </w:rPr>
        <w:t xml:space="preserve"> </w:t>
      </w:r>
      <w:r w:rsidR="00100724" w:rsidRPr="00AE5B4B">
        <w:rPr>
          <w:rFonts w:ascii="Times New Roman" w:hAnsi="Times New Roman"/>
          <w:b/>
          <w:sz w:val="24"/>
          <w:szCs w:val="24"/>
        </w:rPr>
        <w:t xml:space="preserve">Amount: </w:t>
      </w:r>
      <w:r w:rsidR="00100724" w:rsidRPr="00AE5B4B">
        <w:rPr>
          <w:rFonts w:ascii="Times New Roman" w:hAnsi="Times New Roman"/>
          <w:b/>
          <w:color w:val="C00000"/>
          <w:sz w:val="28"/>
          <w:szCs w:val="24"/>
          <w:u w:val="single"/>
        </w:rPr>
        <w:t>$350,000</w:t>
      </w:r>
    </w:p>
    <w:p w:rsidR="00100724" w:rsidRPr="00AE5B4B" w:rsidRDefault="00100724" w:rsidP="00100724">
      <w:pPr>
        <w:pStyle w:val="BodyText"/>
        <w:spacing w:before="0" w:line="240" w:lineRule="atLeast"/>
        <w:rPr>
          <w:rFonts w:ascii="Times New Roman" w:hAnsi="Times New Roman"/>
          <w:b/>
          <w:color w:val="000000" w:themeColor="text1"/>
          <w:sz w:val="20"/>
          <w:szCs w:val="24"/>
        </w:rPr>
      </w:pPr>
      <w:r w:rsidRPr="00AE5B4B">
        <w:rPr>
          <w:rFonts w:ascii="Times New Roman" w:hAnsi="Times New Roman"/>
          <w:b/>
          <w:color w:val="000000" w:themeColor="text1"/>
          <w:sz w:val="20"/>
          <w:szCs w:val="24"/>
        </w:rPr>
        <w:t>The gain is the excess of amount realized of $550,000 over the basis of the property which is $200,000.</w:t>
      </w:r>
    </w:p>
    <w:p w:rsidR="00100724" w:rsidRPr="00AE5B4B" w:rsidRDefault="00100724" w:rsidP="00100724">
      <w:pPr>
        <w:pStyle w:val="BodyText"/>
        <w:spacing w:before="0" w:line="240" w:lineRule="atLeast"/>
        <w:rPr>
          <w:rFonts w:ascii="Times New Roman" w:hAnsi="Times New Roman"/>
          <w:b/>
          <w:color w:val="000000" w:themeColor="text1"/>
          <w:sz w:val="18"/>
          <w:szCs w:val="24"/>
        </w:rPr>
      </w:pPr>
      <w:r w:rsidRPr="00AE5B4B">
        <w:rPr>
          <w:rFonts w:ascii="Times New Roman" w:hAnsi="Times New Roman"/>
          <w:b/>
          <w:color w:val="000000" w:themeColor="text1"/>
          <w:sz w:val="20"/>
          <w:szCs w:val="24"/>
        </w:rPr>
        <w:t>Note: Amount realized is not $350,000. Amount realized is $550,000.</w:t>
      </w:r>
      <w:r w:rsidR="00AE5B4B">
        <w:rPr>
          <w:rFonts w:ascii="Times New Roman" w:hAnsi="Times New Roman"/>
          <w:b/>
          <w:color w:val="000000" w:themeColor="text1"/>
          <w:sz w:val="20"/>
          <w:szCs w:val="24"/>
        </w:rPr>
        <w:t xml:space="preserve"> Gain realized is $350,000.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24"/>
      </w:tblGrid>
      <w:tr w:rsidR="00100724" w:rsidRPr="00AE5B4B" w:rsidTr="00D30C1A">
        <w:tc>
          <w:tcPr>
            <w:tcW w:w="10584" w:type="dxa"/>
            <w:shd w:val="clear" w:color="auto" w:fill="auto"/>
          </w:tcPr>
          <w:p w:rsidR="00100724" w:rsidRPr="00AE5B4B" w:rsidRDefault="00100724" w:rsidP="0092554C">
            <w:pPr>
              <w:pStyle w:val="BodyText"/>
              <w:spacing w:before="40" w:line="280" w:lineRule="atLeast"/>
              <w:rPr>
                <w:rFonts w:ascii="Times New Roman" w:hAnsi="Times New Roman"/>
                <w:b/>
                <w:sz w:val="22"/>
                <w:szCs w:val="24"/>
              </w:rPr>
            </w:pPr>
            <w:r w:rsidRPr="00AE5B4B">
              <w:rPr>
                <w:rFonts w:ascii="Times New Roman" w:hAnsi="Times New Roman"/>
                <w:b/>
                <w:sz w:val="22"/>
                <w:szCs w:val="24"/>
              </w:rPr>
              <w:t>Supporting Computations:</w:t>
            </w:r>
          </w:p>
        </w:tc>
      </w:tr>
    </w:tbl>
    <w:p w:rsidR="00100724" w:rsidRPr="00AE5B4B" w:rsidRDefault="00100724" w:rsidP="00100724">
      <w:pPr>
        <w:pStyle w:val="BodyText"/>
        <w:tabs>
          <w:tab w:val="left" w:pos="540"/>
        </w:tabs>
        <w:spacing w:before="40" w:line="340" w:lineRule="atLeast"/>
        <w:rPr>
          <w:rFonts w:ascii="Times New Roman" w:hAnsi="Times New Roman"/>
          <w:b/>
          <w:sz w:val="22"/>
          <w:szCs w:val="24"/>
        </w:rPr>
      </w:pPr>
      <w:r w:rsidRPr="00AE5B4B">
        <w:rPr>
          <w:rFonts w:ascii="Times New Roman" w:hAnsi="Times New Roman"/>
          <w:b/>
          <w:sz w:val="22"/>
          <w:szCs w:val="24"/>
        </w:rPr>
        <w:tab/>
      </w:r>
      <w:r w:rsidRPr="00AE5B4B">
        <w:rPr>
          <w:rFonts w:ascii="Times New Roman" w:hAnsi="Times New Roman"/>
          <w:noProof/>
        </w:rPr>
        <w:drawing>
          <wp:inline distT="0" distB="0" distL="0" distR="0" wp14:anchorId="245EA375" wp14:editId="5DB188A2">
            <wp:extent cx="3630305" cy="12039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92" cy="12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24"/>
      </w:tblGrid>
      <w:tr w:rsidR="00100724" w:rsidRPr="00AE5B4B" w:rsidTr="00D30C1A">
        <w:tc>
          <w:tcPr>
            <w:tcW w:w="10584" w:type="dxa"/>
            <w:shd w:val="clear" w:color="auto" w:fill="auto"/>
          </w:tcPr>
          <w:p w:rsidR="00100724" w:rsidRPr="00AE5B4B" w:rsidRDefault="00100724" w:rsidP="0092554C">
            <w:pPr>
              <w:pStyle w:val="BodyText"/>
              <w:spacing w:before="60" w:line="3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5B4B">
              <w:rPr>
                <w:rFonts w:ascii="Times New Roman" w:hAnsi="Times New Roman"/>
                <w:b/>
                <w:sz w:val="24"/>
                <w:szCs w:val="24"/>
              </w:rPr>
              <w:t xml:space="preserve">Citation to Internal Revenue Code or Regulations: </w:t>
            </w:r>
            <w:r w:rsidRPr="00AE5B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Section 1001(a)</w:t>
            </w:r>
          </w:p>
        </w:tc>
      </w:tr>
    </w:tbl>
    <w:p w:rsidR="00100724" w:rsidRPr="00AE5B4B" w:rsidRDefault="00AE5B4B" w:rsidP="00AE5B4B">
      <w:pPr>
        <w:pStyle w:val="BodyText"/>
        <w:pBdr>
          <w:top w:val="single" w:sz="18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00724" w:rsidRPr="00AE5B4B">
        <w:rPr>
          <w:rFonts w:ascii="Times New Roman" w:hAnsi="Times New Roman"/>
          <w:b/>
          <w:sz w:val="24"/>
          <w:szCs w:val="24"/>
        </w:rPr>
        <w:t>b. What is the amount of gain or loss that you will recognize?</w:t>
      </w:r>
      <w:r w:rsidRPr="00AE5B4B">
        <w:rPr>
          <w:rFonts w:ascii="Times New Roman" w:hAnsi="Times New Roman"/>
          <w:b/>
          <w:sz w:val="24"/>
          <w:szCs w:val="24"/>
        </w:rPr>
        <w:t xml:space="preserve"> </w:t>
      </w:r>
      <w:r w:rsidR="00100724" w:rsidRPr="00AE5B4B">
        <w:rPr>
          <w:rFonts w:ascii="Times New Roman" w:hAnsi="Times New Roman"/>
          <w:b/>
          <w:sz w:val="24"/>
          <w:szCs w:val="24"/>
        </w:rPr>
        <w:t xml:space="preserve">Amount: </w:t>
      </w:r>
      <w:r w:rsidR="00100724" w:rsidRPr="00AE5B4B">
        <w:rPr>
          <w:rFonts w:ascii="Times New Roman" w:hAnsi="Times New Roman"/>
          <w:b/>
          <w:color w:val="C00000"/>
          <w:sz w:val="24"/>
          <w:szCs w:val="24"/>
          <w:u w:val="single"/>
        </w:rPr>
        <w:t>$40,000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24"/>
      </w:tblGrid>
      <w:tr w:rsidR="00100724" w:rsidRPr="00AE5B4B" w:rsidTr="00D30C1A">
        <w:tc>
          <w:tcPr>
            <w:tcW w:w="10584" w:type="dxa"/>
            <w:shd w:val="clear" w:color="auto" w:fill="auto"/>
          </w:tcPr>
          <w:p w:rsidR="00100724" w:rsidRPr="00AE5B4B" w:rsidRDefault="00100724" w:rsidP="00D30C1A">
            <w:pPr>
              <w:pStyle w:val="BodyText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5B4B">
              <w:rPr>
                <w:rFonts w:ascii="Times New Roman" w:hAnsi="Times New Roman"/>
                <w:b/>
                <w:sz w:val="24"/>
                <w:szCs w:val="24"/>
              </w:rPr>
              <w:t>At the election of the taxpayer, the gain shall be recognized only to the extent that the amount realized upon the conversion exceeds the cost of the new property. Sec. 1033(a)(2)(A)</w:t>
            </w:r>
          </w:p>
          <w:p w:rsidR="00100724" w:rsidRPr="00AE5B4B" w:rsidRDefault="00100724" w:rsidP="00D30C1A">
            <w:pPr>
              <w:pStyle w:val="BodyText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5B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Grading Note: </w:t>
            </w:r>
            <w:r w:rsidRPr="00AE5B4B">
              <w:rPr>
                <w:rFonts w:ascii="Times New Roman" w:hAnsi="Times New Roman"/>
                <w:b/>
                <w:sz w:val="24"/>
                <w:szCs w:val="24"/>
              </w:rPr>
              <w:t>This is not a deferred like-kind exchange.</w:t>
            </w:r>
          </w:p>
        </w:tc>
      </w:tr>
    </w:tbl>
    <w:p w:rsidR="00100724" w:rsidRPr="00AE5B4B" w:rsidRDefault="00100724" w:rsidP="00100724">
      <w:pPr>
        <w:pStyle w:val="BodyText"/>
        <w:spacing w:before="40" w:line="340" w:lineRule="atLeast"/>
        <w:rPr>
          <w:rFonts w:ascii="Times New Roman" w:hAnsi="Times New Roman"/>
          <w:b/>
          <w:sz w:val="24"/>
          <w:szCs w:val="24"/>
        </w:rPr>
      </w:pPr>
      <w:r w:rsidRPr="00AE5B4B">
        <w:rPr>
          <w:rFonts w:ascii="Times New Roman" w:hAnsi="Times New Roman"/>
          <w:b/>
          <w:sz w:val="24"/>
          <w:szCs w:val="24"/>
        </w:rPr>
        <w:t>Supporting Computations: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100724" w:rsidRPr="00AE5B4B" w:rsidTr="00D30C1A">
        <w:tc>
          <w:tcPr>
            <w:tcW w:w="10584" w:type="dxa"/>
            <w:tcBorders>
              <w:top w:val="nil"/>
              <w:bottom w:val="nil"/>
            </w:tcBorders>
            <w:shd w:val="clear" w:color="auto" w:fill="auto"/>
          </w:tcPr>
          <w:p w:rsidR="00100724" w:rsidRPr="00AE5B4B" w:rsidRDefault="00100724" w:rsidP="00D30C1A">
            <w:pPr>
              <w:pStyle w:val="BodyText"/>
              <w:spacing w:before="40" w:line="340" w:lineRule="atLeast"/>
              <w:rPr>
                <w:rFonts w:ascii="Times New Roman" w:hAnsi="Times New Roman"/>
                <w:b/>
                <w:sz w:val="22"/>
                <w:szCs w:val="24"/>
              </w:rPr>
            </w:pPr>
            <w:r w:rsidRPr="00AE5B4B">
              <w:rPr>
                <w:rFonts w:ascii="Times New Roman" w:hAnsi="Times New Roman"/>
                <w:b/>
                <w:noProof/>
                <w:sz w:val="22"/>
                <w:szCs w:val="24"/>
              </w:rPr>
              <w:drawing>
                <wp:inline distT="0" distB="0" distL="0" distR="0" wp14:anchorId="7ED3937A" wp14:editId="15CDAD5A">
                  <wp:extent cx="3848669" cy="1274085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623" cy="127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24" w:rsidRPr="00AE5B4B" w:rsidTr="00D30C1A">
        <w:tc>
          <w:tcPr>
            <w:tcW w:w="10584" w:type="dxa"/>
            <w:tcBorders>
              <w:top w:val="nil"/>
              <w:bottom w:val="nil"/>
            </w:tcBorders>
            <w:shd w:val="clear" w:color="auto" w:fill="auto"/>
          </w:tcPr>
          <w:p w:rsidR="00100724" w:rsidRPr="00AE5B4B" w:rsidRDefault="00100724" w:rsidP="00D30C1A">
            <w:pPr>
              <w:pStyle w:val="BodyText"/>
              <w:spacing w:before="40" w:line="340" w:lineRule="atLeast"/>
              <w:rPr>
                <w:rFonts w:ascii="Times New Roman" w:hAnsi="Times New Roman"/>
                <w:b/>
                <w:sz w:val="22"/>
                <w:szCs w:val="24"/>
              </w:rPr>
            </w:pPr>
            <w:r w:rsidRPr="00AE5B4B">
              <w:rPr>
                <w:rFonts w:ascii="Times New Roman" w:hAnsi="Times New Roman"/>
                <w:b/>
                <w:sz w:val="24"/>
                <w:szCs w:val="24"/>
              </w:rPr>
              <w:t xml:space="preserve">Citation to Internal Revenue Code or Regulations: </w:t>
            </w:r>
            <w:r w:rsidRPr="00AE5B4B">
              <w:rPr>
                <w:rFonts w:ascii="Times New Roman" w:hAnsi="Times New Roman"/>
                <w:b/>
                <w:color w:val="FF0000"/>
                <w:sz w:val="32"/>
                <w:szCs w:val="24"/>
              </w:rPr>
              <w:t>Sec. 1033(a)(2)(A)</w:t>
            </w:r>
          </w:p>
        </w:tc>
      </w:tr>
    </w:tbl>
    <w:p w:rsidR="00100724" w:rsidRPr="00AE5B4B" w:rsidRDefault="00AE5B4B" w:rsidP="00AE5B4B">
      <w:pPr>
        <w:pStyle w:val="BodyText"/>
        <w:pBdr>
          <w:top w:val="single" w:sz="18" w:space="1" w:color="auto"/>
        </w:pBdr>
        <w:spacing w:before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00724" w:rsidRPr="00AE5B4B">
        <w:rPr>
          <w:rFonts w:ascii="Times New Roman" w:hAnsi="Times New Roman"/>
          <w:b/>
          <w:sz w:val="24"/>
          <w:szCs w:val="24"/>
        </w:rPr>
        <w:t>c. What will be the amount of your basis in the new land?</w:t>
      </w:r>
      <w:r w:rsidRPr="00AE5B4B">
        <w:rPr>
          <w:rFonts w:ascii="Times New Roman" w:hAnsi="Times New Roman"/>
          <w:b/>
          <w:sz w:val="24"/>
          <w:szCs w:val="24"/>
        </w:rPr>
        <w:t xml:space="preserve"> </w:t>
      </w:r>
      <w:r w:rsidR="00100724" w:rsidRPr="00AE5B4B">
        <w:rPr>
          <w:rFonts w:ascii="Times New Roman" w:hAnsi="Times New Roman"/>
          <w:b/>
          <w:sz w:val="24"/>
          <w:szCs w:val="24"/>
        </w:rPr>
        <w:t xml:space="preserve">Amount: </w:t>
      </w:r>
      <w:r w:rsidR="00100724" w:rsidRPr="00AE5B4B">
        <w:rPr>
          <w:rFonts w:ascii="Times New Roman" w:hAnsi="Times New Roman"/>
          <w:b/>
          <w:color w:val="C00000"/>
          <w:sz w:val="24"/>
          <w:szCs w:val="24"/>
          <w:u w:val="single"/>
        </w:rPr>
        <w:t>$200,000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24"/>
      </w:tblGrid>
      <w:tr w:rsidR="00100724" w:rsidRPr="00AE5B4B" w:rsidTr="00D30C1A">
        <w:tc>
          <w:tcPr>
            <w:tcW w:w="10584" w:type="dxa"/>
            <w:shd w:val="clear" w:color="auto" w:fill="auto"/>
          </w:tcPr>
          <w:p w:rsidR="00100724" w:rsidRPr="00AE5B4B" w:rsidRDefault="00100724" w:rsidP="00D30C1A">
            <w:pPr>
              <w:pStyle w:val="BodyText"/>
              <w:spacing w:before="4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5B4B">
              <w:rPr>
                <w:rFonts w:ascii="Times New Roman" w:hAnsi="Times New Roman"/>
                <w:b/>
                <w:sz w:val="24"/>
                <w:szCs w:val="24"/>
              </w:rPr>
              <w:t>The basis of the property purchased shall be the cost of that property reduced by the amount of the not recognized on the conversion. Sec. 1033(b)(2)</w:t>
            </w:r>
          </w:p>
        </w:tc>
      </w:tr>
    </w:tbl>
    <w:p w:rsidR="00100724" w:rsidRPr="00AE5B4B" w:rsidRDefault="00100724" w:rsidP="00100724">
      <w:pPr>
        <w:pStyle w:val="BodyText"/>
        <w:spacing w:before="40" w:line="340" w:lineRule="atLeast"/>
        <w:rPr>
          <w:rFonts w:ascii="Times New Roman" w:hAnsi="Times New Roman"/>
          <w:b/>
          <w:sz w:val="24"/>
          <w:szCs w:val="24"/>
        </w:rPr>
      </w:pPr>
      <w:r w:rsidRPr="00AE5B4B">
        <w:rPr>
          <w:rFonts w:ascii="Times New Roman" w:hAnsi="Times New Roman"/>
          <w:b/>
          <w:sz w:val="24"/>
          <w:szCs w:val="24"/>
        </w:rPr>
        <w:t>Supporting Computations: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100724" w:rsidRPr="00AE5B4B" w:rsidTr="00D30C1A">
        <w:tc>
          <w:tcPr>
            <w:tcW w:w="10584" w:type="dxa"/>
            <w:tcBorders>
              <w:top w:val="nil"/>
              <w:bottom w:val="nil"/>
            </w:tcBorders>
            <w:shd w:val="clear" w:color="auto" w:fill="auto"/>
          </w:tcPr>
          <w:p w:rsidR="00100724" w:rsidRPr="00AE5B4B" w:rsidRDefault="00100724" w:rsidP="00D30C1A">
            <w:pPr>
              <w:pStyle w:val="BodyText"/>
              <w:spacing w:before="40" w:line="340" w:lineRule="atLeast"/>
              <w:rPr>
                <w:rFonts w:ascii="Times New Roman" w:hAnsi="Times New Roman"/>
                <w:b/>
                <w:sz w:val="22"/>
                <w:szCs w:val="24"/>
              </w:rPr>
            </w:pPr>
            <w:bookmarkStart w:id="0" w:name="_GoBack"/>
            <w:r w:rsidRPr="00AE5B4B">
              <w:rPr>
                <w:rFonts w:ascii="Times New Roman" w:hAnsi="Times New Roman"/>
                <w:b/>
                <w:noProof/>
                <w:sz w:val="22"/>
                <w:szCs w:val="24"/>
              </w:rPr>
              <w:drawing>
                <wp:inline distT="0" distB="0" distL="0" distR="0" wp14:anchorId="0E801D1B" wp14:editId="63E94C41">
                  <wp:extent cx="3548418" cy="11648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985" cy="116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00724" w:rsidRPr="00AE5B4B" w:rsidTr="00D30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84" w:type="dxa"/>
            <w:shd w:val="clear" w:color="auto" w:fill="auto"/>
          </w:tcPr>
          <w:p w:rsidR="00100724" w:rsidRPr="00AE5B4B" w:rsidRDefault="00100724" w:rsidP="00D30C1A">
            <w:pPr>
              <w:pStyle w:val="BodyText"/>
              <w:spacing w:before="0" w:line="260" w:lineRule="atLeast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4234B1" w:rsidRPr="00AE5B4B" w:rsidRDefault="00D97295" w:rsidP="0092554C">
      <w:pPr>
        <w:spacing w:line="100" w:lineRule="exact"/>
      </w:pPr>
    </w:p>
    <w:sectPr w:rsidR="004234B1" w:rsidRPr="00AE5B4B" w:rsidSect="00AE5B4B">
      <w:footerReference w:type="default" r:id="rId9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95" w:rsidRDefault="00D97295" w:rsidP="0092554C">
      <w:r>
        <w:separator/>
      </w:r>
    </w:p>
  </w:endnote>
  <w:endnote w:type="continuationSeparator" w:id="0">
    <w:p w:rsidR="00D97295" w:rsidRDefault="00D97295" w:rsidP="0092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4C" w:rsidRPr="0092554C" w:rsidRDefault="00144F0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noProof/>
        <w:sz w:val="16"/>
      </w:rPr>
      <w:t>T16F-Chap-11-Involuntary-Conversation-Test-Question-July-27-2016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95" w:rsidRDefault="00D97295" w:rsidP="0092554C">
      <w:r>
        <w:separator/>
      </w:r>
    </w:p>
  </w:footnote>
  <w:footnote w:type="continuationSeparator" w:id="0">
    <w:p w:rsidR="00D97295" w:rsidRDefault="00D97295" w:rsidP="0092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24"/>
    <w:rsid w:val="00100724"/>
    <w:rsid w:val="00144F0C"/>
    <w:rsid w:val="002D09F9"/>
    <w:rsid w:val="002D677A"/>
    <w:rsid w:val="00644BEA"/>
    <w:rsid w:val="0073234E"/>
    <w:rsid w:val="0092554C"/>
    <w:rsid w:val="00AB172F"/>
    <w:rsid w:val="00AE5B4B"/>
    <w:rsid w:val="00C26940"/>
    <w:rsid w:val="00D6379D"/>
    <w:rsid w:val="00D759F8"/>
    <w:rsid w:val="00D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82BAC-2FF8-4F80-B5EF-741799D5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0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0724"/>
    <w:pPr>
      <w:spacing w:before="120"/>
    </w:pPr>
    <w:rPr>
      <w:rFonts w:ascii="Century Schoolbook" w:hAnsi="Century Schoolbook"/>
      <w:sz w:val="26"/>
    </w:rPr>
  </w:style>
  <w:style w:type="character" w:customStyle="1" w:styleId="BodyTextChar">
    <w:name w:val="Body Text Char"/>
    <w:basedOn w:val="DefaultParagraphFont"/>
    <w:link w:val="BodyText"/>
    <w:rsid w:val="00100724"/>
    <w:rPr>
      <w:rFonts w:ascii="Century Schoolbook" w:eastAsia="Times New Roman" w:hAnsi="Century Schoolbook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5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54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hgodfrey@uncc.edu</cp:lastModifiedBy>
  <cp:revision>4</cp:revision>
  <cp:lastPrinted>2015-07-11T14:05:00Z</cp:lastPrinted>
  <dcterms:created xsi:type="dcterms:W3CDTF">2016-07-27T02:59:00Z</dcterms:created>
  <dcterms:modified xsi:type="dcterms:W3CDTF">2016-07-27T14:10:00Z</dcterms:modified>
</cp:coreProperties>
</file>