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F0" w:rsidRPr="00A353F0" w:rsidRDefault="00A353F0" w:rsidP="00497A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40" w:line="240" w:lineRule="atLeast"/>
        <w:ind w:left="-144" w:right="14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0"/>
        </w:rPr>
      </w:pPr>
      <w:bookmarkStart w:id="0" w:name="_GoBack"/>
      <w:bookmarkEnd w:id="0"/>
      <w:r w:rsidRPr="000D0D66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highlight w:val="yellow"/>
        </w:rPr>
        <w:t xml:space="preserve">Sec. 1001. </w:t>
      </w:r>
      <w:r w:rsidR="00B20D8F" w:rsidRPr="000D0D66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highlight w:val="yellow"/>
        </w:rPr>
        <w:t xml:space="preserve">Determination of Amount </w:t>
      </w:r>
      <w:r w:rsidR="00AB45E9" w:rsidRPr="000D0D66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highlight w:val="yellow"/>
        </w:rPr>
        <w:br/>
      </w:r>
      <w:r w:rsidR="00B20D8F" w:rsidRPr="000D0D66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highlight w:val="yellow"/>
        </w:rPr>
        <w:t xml:space="preserve">of </w:t>
      </w:r>
      <w:r w:rsidR="00B20D8F" w:rsidRPr="000D0D66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highlight w:val="yellow"/>
          <w:u w:val="single"/>
        </w:rPr>
        <w:t>a</w:t>
      </w:r>
      <w:r w:rsidR="00484C3A" w:rsidRPr="000D0D66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highlight w:val="yellow"/>
          <w:u w:val="single"/>
        </w:rPr>
        <w:t>nd Recognition</w:t>
      </w:r>
      <w:r w:rsidR="00484C3A" w:rsidRPr="000D0D66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highlight w:val="yellow"/>
        </w:rPr>
        <w:t xml:space="preserve"> of Gain or Loss</w:t>
      </w:r>
    </w:p>
    <w:p w:rsidR="00A353F0" w:rsidRPr="00A353F0" w:rsidRDefault="00A353F0" w:rsidP="00B20D8F">
      <w:pPr>
        <w:spacing w:after="0" w:line="240" w:lineRule="atLeast"/>
        <w:ind w:hanging="144"/>
        <w:rPr>
          <w:rFonts w:ascii="Times New Roman" w:eastAsia="Times New Roman" w:hAnsi="Times New Roman" w:cs="Times New Roman"/>
        </w:rPr>
      </w:pPr>
      <w:bookmarkStart w:id="1" w:name="subdoc34"/>
      <w:bookmarkEnd w:id="1"/>
      <w:r w:rsidRPr="00F77FA4">
        <w:rPr>
          <w:rFonts w:ascii="Times New Roman" w:eastAsia="Times New Roman" w:hAnsi="Times New Roman" w:cs="Times New Roman"/>
          <w:b/>
          <w:sz w:val="24"/>
        </w:rPr>
        <w:t>(a) Computation of Gain or Loss.</w:t>
      </w:r>
      <w:r w:rsidRPr="00F77FA4">
        <w:rPr>
          <w:rFonts w:ascii="Times New Roman" w:eastAsia="Times New Roman" w:hAnsi="Times New Roman" w:cs="Times New Roman"/>
          <w:sz w:val="24"/>
        </w:rPr>
        <w:t xml:space="preserve"> </w:t>
      </w:r>
      <w:r w:rsidRPr="00D33692">
        <w:rPr>
          <w:rFonts w:ascii="Times New Roman" w:eastAsia="Times New Roman" w:hAnsi="Times New Roman" w:cs="Times New Roman"/>
          <w:b/>
          <w:u w:val="single"/>
        </w:rPr>
        <w:t xml:space="preserve">The </w:t>
      </w:r>
      <w:r w:rsidRPr="00D33692">
        <w:rPr>
          <w:rFonts w:ascii="Times New Roman" w:eastAsia="Times New Roman" w:hAnsi="Times New Roman" w:cs="Times New Roman"/>
          <w:b/>
          <w:highlight w:val="yellow"/>
          <w:u w:val="single"/>
        </w:rPr>
        <w:t>gain from the sale or other disposition of property</w:t>
      </w:r>
      <w:r w:rsidRPr="000D0D66">
        <w:rPr>
          <w:rFonts w:ascii="Times New Roman" w:eastAsia="Times New Roman" w:hAnsi="Times New Roman" w:cs="Times New Roman"/>
          <w:highlight w:val="yellow"/>
        </w:rPr>
        <w:t xml:space="preserve"> shall be the </w:t>
      </w:r>
      <w:r w:rsidRPr="000D0D66">
        <w:rPr>
          <w:rFonts w:ascii="Times New Roman" w:eastAsia="Times New Roman" w:hAnsi="Times New Roman" w:cs="Times New Roman"/>
          <w:b/>
          <w:highlight w:val="yellow"/>
          <w:u w:val="single"/>
        </w:rPr>
        <w:t>excess</w:t>
      </w:r>
      <w:r w:rsidRPr="000D0D66">
        <w:rPr>
          <w:rFonts w:ascii="Times New Roman" w:eastAsia="Times New Roman" w:hAnsi="Times New Roman" w:cs="Times New Roman"/>
          <w:highlight w:val="yellow"/>
        </w:rPr>
        <w:t xml:space="preserve"> of the </w:t>
      </w:r>
      <w:r w:rsidRPr="000D0D66">
        <w:rPr>
          <w:rFonts w:ascii="Times New Roman" w:eastAsia="Times New Roman" w:hAnsi="Times New Roman" w:cs="Times New Roman"/>
          <w:b/>
          <w:highlight w:val="yellow"/>
          <w:u w:val="single"/>
        </w:rPr>
        <w:t>amount realized</w:t>
      </w:r>
      <w:r w:rsidRPr="000D0D66">
        <w:rPr>
          <w:rFonts w:ascii="Times New Roman" w:eastAsia="Times New Roman" w:hAnsi="Times New Roman" w:cs="Times New Roman"/>
          <w:highlight w:val="yellow"/>
        </w:rPr>
        <w:t xml:space="preserve"> therefrom</w:t>
      </w:r>
      <w:r w:rsidRPr="000D0D66">
        <w:rPr>
          <w:rFonts w:ascii="Times New Roman" w:eastAsia="Times New Roman" w:hAnsi="Times New Roman" w:cs="Times New Roman"/>
          <w:b/>
          <w:highlight w:val="yellow"/>
        </w:rPr>
        <w:t xml:space="preserve"> </w:t>
      </w:r>
      <w:r w:rsidRPr="000D0D66">
        <w:rPr>
          <w:rFonts w:ascii="Times New Roman" w:eastAsia="Times New Roman" w:hAnsi="Times New Roman" w:cs="Times New Roman"/>
          <w:b/>
          <w:highlight w:val="yellow"/>
          <w:u w:val="single"/>
        </w:rPr>
        <w:t>over</w:t>
      </w:r>
      <w:r w:rsidRPr="000D0D66">
        <w:rPr>
          <w:rFonts w:ascii="Times New Roman" w:eastAsia="Times New Roman" w:hAnsi="Times New Roman" w:cs="Times New Roman"/>
          <w:highlight w:val="yellow"/>
        </w:rPr>
        <w:t xml:space="preserve"> the </w:t>
      </w:r>
      <w:r w:rsidRPr="000D0D66">
        <w:rPr>
          <w:rFonts w:ascii="Times New Roman" w:eastAsia="Times New Roman" w:hAnsi="Times New Roman" w:cs="Times New Roman"/>
          <w:b/>
          <w:highlight w:val="yellow"/>
          <w:u w:val="single"/>
        </w:rPr>
        <w:t>adjusted basis</w:t>
      </w:r>
      <w:proofErr w:type="gramStart"/>
      <w:r w:rsidRPr="00A353F0">
        <w:rPr>
          <w:rFonts w:ascii="Times New Roman" w:eastAsia="Times New Roman" w:hAnsi="Times New Roman" w:cs="Times New Roman"/>
        </w:rPr>
        <w:t xml:space="preserve"> </w:t>
      </w:r>
      <w:r w:rsidR="005F06A2">
        <w:rPr>
          <w:rFonts w:ascii="Times New Roman" w:eastAsia="Times New Roman" w:hAnsi="Times New Roman" w:cs="Times New Roman"/>
        </w:rPr>
        <w:t>..</w:t>
      </w:r>
      <w:proofErr w:type="gramEnd"/>
    </w:p>
    <w:p w:rsidR="00484C3A" w:rsidRDefault="00A353F0" w:rsidP="00B20D8F">
      <w:pPr>
        <w:spacing w:after="0" w:line="240" w:lineRule="atLeast"/>
        <w:ind w:hanging="144"/>
        <w:rPr>
          <w:rFonts w:ascii="Times New Roman" w:eastAsia="Times New Roman" w:hAnsi="Times New Roman" w:cs="Times New Roman"/>
        </w:rPr>
      </w:pPr>
      <w:bookmarkStart w:id="2" w:name="subdoc45"/>
      <w:bookmarkEnd w:id="2"/>
      <w:r w:rsidRPr="00B64A6B">
        <w:rPr>
          <w:rFonts w:ascii="Times New Roman" w:eastAsia="Times New Roman" w:hAnsi="Times New Roman" w:cs="Times New Roman"/>
          <w:b/>
          <w:sz w:val="24"/>
        </w:rPr>
        <w:t>(b) Amount Realized.</w:t>
      </w:r>
      <w:r w:rsidRPr="00B64A6B">
        <w:rPr>
          <w:rFonts w:ascii="Times New Roman" w:eastAsia="Times New Roman" w:hAnsi="Times New Roman" w:cs="Times New Roman"/>
          <w:sz w:val="24"/>
        </w:rPr>
        <w:t xml:space="preserve"> </w:t>
      </w:r>
      <w:r w:rsidRPr="000D0D66">
        <w:rPr>
          <w:rFonts w:ascii="Times New Roman" w:eastAsia="Times New Roman" w:hAnsi="Times New Roman" w:cs="Times New Roman"/>
          <w:highlight w:val="yellow"/>
        </w:rPr>
        <w:t xml:space="preserve">The </w:t>
      </w:r>
      <w:r w:rsidRPr="000D0D66">
        <w:rPr>
          <w:rFonts w:ascii="Times New Roman" w:eastAsia="Times New Roman" w:hAnsi="Times New Roman" w:cs="Times New Roman"/>
          <w:b/>
          <w:highlight w:val="yellow"/>
          <w:u w:val="single"/>
        </w:rPr>
        <w:t>amount realized</w:t>
      </w:r>
      <w:r w:rsidRPr="000D0D66">
        <w:rPr>
          <w:rFonts w:ascii="Times New Roman" w:eastAsia="Times New Roman" w:hAnsi="Times New Roman" w:cs="Times New Roman"/>
          <w:highlight w:val="yellow"/>
        </w:rPr>
        <w:t xml:space="preserve"> from the sale or other disposition of property shall be the </w:t>
      </w:r>
      <w:r w:rsidRPr="00F87B2F">
        <w:rPr>
          <w:rFonts w:ascii="Times New Roman" w:eastAsia="Times New Roman" w:hAnsi="Times New Roman" w:cs="Times New Roman"/>
          <w:b/>
          <w:highlight w:val="yellow"/>
        </w:rPr>
        <w:t>sum of any money received plus the fair market value of the proper</w:t>
      </w:r>
      <w:r w:rsidR="00B64A6B" w:rsidRPr="00F87B2F">
        <w:rPr>
          <w:rFonts w:ascii="Times New Roman" w:eastAsia="Times New Roman" w:hAnsi="Times New Roman" w:cs="Times New Roman"/>
          <w:b/>
          <w:highlight w:val="yellow"/>
        </w:rPr>
        <w:t>ty</w:t>
      </w:r>
      <w:r w:rsidR="00B64A6B" w:rsidRPr="000D0D66">
        <w:rPr>
          <w:rFonts w:ascii="Times New Roman" w:eastAsia="Times New Roman" w:hAnsi="Times New Roman" w:cs="Times New Roman"/>
          <w:highlight w:val="yellow"/>
        </w:rPr>
        <w:t xml:space="preserve"> (other than money) </w:t>
      </w:r>
      <w:proofErr w:type="gramStart"/>
      <w:r w:rsidR="00B64A6B" w:rsidRPr="000D0D66">
        <w:rPr>
          <w:rFonts w:ascii="Times New Roman" w:eastAsia="Times New Roman" w:hAnsi="Times New Roman" w:cs="Times New Roman"/>
          <w:highlight w:val="yellow"/>
        </w:rPr>
        <w:t>received.</w:t>
      </w:r>
      <w:r w:rsidRPr="000D0D66">
        <w:rPr>
          <w:rFonts w:ascii="Times New Roman" w:eastAsia="Times New Roman" w:hAnsi="Times New Roman" w:cs="Times New Roman"/>
          <w:highlight w:val="yellow"/>
        </w:rPr>
        <w:t>.</w:t>
      </w:r>
      <w:bookmarkStart w:id="3" w:name="subdoc59"/>
      <w:bookmarkEnd w:id="3"/>
      <w:proofErr w:type="gramEnd"/>
    </w:p>
    <w:p w:rsidR="00A353F0" w:rsidRPr="00A353F0" w:rsidRDefault="00A353F0" w:rsidP="00B20D8F">
      <w:pPr>
        <w:spacing w:after="0" w:line="240" w:lineRule="atLeast"/>
        <w:ind w:hanging="144"/>
        <w:rPr>
          <w:rFonts w:ascii="Times New Roman" w:eastAsia="Times New Roman" w:hAnsi="Times New Roman" w:cs="Times New Roman"/>
        </w:rPr>
      </w:pPr>
      <w:r w:rsidRPr="00B64A6B">
        <w:rPr>
          <w:rFonts w:ascii="Times New Roman" w:eastAsia="Times New Roman" w:hAnsi="Times New Roman" w:cs="Times New Roman"/>
          <w:b/>
          <w:sz w:val="24"/>
        </w:rPr>
        <w:t xml:space="preserve">(c) Recognition of Gain or Loss. </w:t>
      </w:r>
      <w:r w:rsidRPr="000D0D66">
        <w:rPr>
          <w:rFonts w:ascii="Times New Roman" w:eastAsia="Times New Roman" w:hAnsi="Times New Roman" w:cs="Times New Roman"/>
          <w:b/>
          <w:highlight w:val="yellow"/>
          <w:u w:val="single"/>
        </w:rPr>
        <w:t>Except as</w:t>
      </w:r>
      <w:r w:rsidRPr="000D0D66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0D0D66">
        <w:rPr>
          <w:rFonts w:ascii="Times New Roman" w:eastAsia="Times New Roman" w:hAnsi="Times New Roman" w:cs="Times New Roman"/>
          <w:b/>
          <w:highlight w:val="yellow"/>
          <w:u w:val="single"/>
        </w:rPr>
        <w:t>otherwise provided</w:t>
      </w:r>
      <w:r w:rsidRPr="000D0D66">
        <w:rPr>
          <w:rFonts w:ascii="Times New Roman" w:eastAsia="Times New Roman" w:hAnsi="Times New Roman" w:cs="Times New Roman"/>
          <w:highlight w:val="yellow"/>
        </w:rPr>
        <w:t xml:space="preserve"> in this subtitle, the entire amount of the </w:t>
      </w:r>
      <w:r w:rsidRPr="000D0D66">
        <w:rPr>
          <w:rFonts w:ascii="Times New Roman" w:eastAsia="Times New Roman" w:hAnsi="Times New Roman" w:cs="Times New Roman"/>
          <w:b/>
          <w:highlight w:val="yellow"/>
          <w:u w:val="single"/>
        </w:rPr>
        <w:t>gain or loss</w:t>
      </w:r>
      <w:r w:rsidRPr="000D0D66">
        <w:rPr>
          <w:rFonts w:ascii="Times New Roman" w:eastAsia="Times New Roman" w:hAnsi="Times New Roman" w:cs="Times New Roman"/>
          <w:highlight w:val="yellow"/>
        </w:rPr>
        <w:t xml:space="preserve">, determined under this section, on the sale or exchange of property </w:t>
      </w:r>
      <w:r w:rsidRPr="000D0D66">
        <w:rPr>
          <w:rFonts w:ascii="Times New Roman" w:eastAsia="Times New Roman" w:hAnsi="Times New Roman" w:cs="Times New Roman"/>
          <w:b/>
          <w:highlight w:val="yellow"/>
          <w:u w:val="single"/>
        </w:rPr>
        <w:t>shall be recognized.</w:t>
      </w:r>
    </w:p>
    <w:p w:rsidR="00507B5E" w:rsidRPr="00B20D8F" w:rsidRDefault="00A353F0" w:rsidP="00B64A6B">
      <w:pPr>
        <w:spacing w:after="0" w:line="240" w:lineRule="atLeast"/>
        <w:ind w:hanging="144"/>
        <w:rPr>
          <w:rFonts w:ascii="Times New Roman" w:eastAsia="Times New Roman" w:hAnsi="Times New Roman" w:cs="Times New Roman"/>
        </w:rPr>
      </w:pPr>
      <w:bookmarkStart w:id="4" w:name="subdoc67"/>
      <w:bookmarkEnd w:id="4"/>
      <w:r w:rsidRPr="00484C3A">
        <w:rPr>
          <w:rFonts w:ascii="Times New Roman" w:eastAsia="Times New Roman" w:hAnsi="Times New Roman" w:cs="Times New Roman"/>
          <w:b/>
        </w:rPr>
        <w:t>(d) Installment Sales</w:t>
      </w:r>
      <w:proofErr w:type="gramStart"/>
      <w:r w:rsidRPr="00484C3A">
        <w:rPr>
          <w:rFonts w:ascii="Times New Roman" w:eastAsia="Times New Roman" w:hAnsi="Times New Roman" w:cs="Times New Roman"/>
          <w:b/>
        </w:rPr>
        <w:t xml:space="preserve">. </w:t>
      </w:r>
      <w:r w:rsidR="005F06A2">
        <w:rPr>
          <w:rFonts w:ascii="Times New Roman" w:eastAsia="Times New Roman" w:hAnsi="Times New Roman" w:cs="Times New Roman"/>
          <w:sz w:val="20"/>
        </w:rPr>
        <w:t>.</w:t>
      </w:r>
      <w:proofErr w:type="gramEnd"/>
    </w:p>
    <w:p w:rsidR="007E4F03" w:rsidRPr="00873C6F" w:rsidRDefault="007E4F03" w:rsidP="00123DFD">
      <w:pPr>
        <w:pStyle w:val="Heading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 w:line="240" w:lineRule="atLeast"/>
        <w:ind w:left="-144" w:right="720"/>
        <w:rPr>
          <w:sz w:val="28"/>
          <w:szCs w:val="22"/>
        </w:rPr>
      </w:pPr>
      <w:r w:rsidRPr="000D0D66">
        <w:rPr>
          <w:rStyle w:val="docheadspacer"/>
          <w:sz w:val="28"/>
          <w:szCs w:val="22"/>
          <w:highlight w:val="yellow"/>
        </w:rPr>
        <w:t>Sec. 351.</w:t>
      </w:r>
      <w:r w:rsidR="00484C3A" w:rsidRPr="000D0D66">
        <w:rPr>
          <w:sz w:val="28"/>
          <w:szCs w:val="22"/>
          <w:highlight w:val="yellow"/>
        </w:rPr>
        <w:t>Transfer to Corporation Controlled by Transferor</w:t>
      </w:r>
    </w:p>
    <w:p w:rsidR="007E4F03" w:rsidRPr="00484C3A" w:rsidRDefault="007E4F03" w:rsidP="00B20D8F">
      <w:pPr>
        <w:pStyle w:val="hp"/>
        <w:spacing w:before="0" w:beforeAutospacing="0" w:after="0" w:afterAutospacing="0" w:line="240" w:lineRule="atLeast"/>
        <w:ind w:hanging="144"/>
        <w:rPr>
          <w:sz w:val="22"/>
          <w:szCs w:val="22"/>
        </w:rPr>
      </w:pPr>
      <w:bookmarkStart w:id="5" w:name="subdoc21"/>
      <w:bookmarkEnd w:id="5"/>
      <w:r w:rsidRPr="000D0D66">
        <w:rPr>
          <w:rStyle w:val="docheadspacer"/>
          <w:b/>
          <w:szCs w:val="22"/>
          <w:highlight w:val="yellow"/>
        </w:rPr>
        <w:t xml:space="preserve">(a) </w:t>
      </w:r>
      <w:r w:rsidRPr="000D0D66">
        <w:rPr>
          <w:rStyle w:val="smallcap"/>
          <w:b/>
          <w:szCs w:val="22"/>
          <w:highlight w:val="yellow"/>
        </w:rPr>
        <w:t>General Rule</w:t>
      </w:r>
      <w:r w:rsidRPr="000D0D66">
        <w:rPr>
          <w:b/>
          <w:szCs w:val="22"/>
          <w:highlight w:val="yellow"/>
        </w:rPr>
        <w:t xml:space="preserve">. </w:t>
      </w:r>
      <w:r w:rsidRPr="000D0D66">
        <w:rPr>
          <w:b/>
          <w:sz w:val="22"/>
          <w:szCs w:val="22"/>
          <w:highlight w:val="yellow"/>
          <w:u w:val="single"/>
        </w:rPr>
        <w:t>No gain or loss</w:t>
      </w:r>
      <w:r w:rsidRPr="000D0D66">
        <w:rPr>
          <w:sz w:val="22"/>
          <w:szCs w:val="22"/>
          <w:highlight w:val="yellow"/>
        </w:rPr>
        <w:t xml:space="preserve"> shall be recognized if </w:t>
      </w:r>
      <w:r w:rsidRPr="00F87B2F">
        <w:rPr>
          <w:b/>
          <w:sz w:val="22"/>
          <w:szCs w:val="22"/>
          <w:highlight w:val="yellow"/>
        </w:rPr>
        <w:t>property is transferred</w:t>
      </w:r>
      <w:r w:rsidRPr="000D0D66">
        <w:rPr>
          <w:sz w:val="22"/>
          <w:szCs w:val="22"/>
          <w:highlight w:val="yellow"/>
        </w:rPr>
        <w:t xml:space="preserve"> to a corporation by </w:t>
      </w:r>
      <w:r w:rsidRPr="00F87B2F">
        <w:rPr>
          <w:b/>
          <w:sz w:val="22"/>
          <w:szCs w:val="22"/>
          <w:highlight w:val="yellow"/>
          <w:u w:val="single"/>
        </w:rPr>
        <w:t>one or more persons</w:t>
      </w:r>
      <w:r w:rsidRPr="000D0D66">
        <w:rPr>
          <w:sz w:val="22"/>
          <w:szCs w:val="22"/>
          <w:highlight w:val="yellow"/>
        </w:rPr>
        <w:t xml:space="preserve"> </w:t>
      </w:r>
      <w:r w:rsidRPr="00F87B2F">
        <w:rPr>
          <w:b/>
          <w:sz w:val="22"/>
          <w:szCs w:val="22"/>
          <w:highlight w:val="yellow"/>
        </w:rPr>
        <w:t>solely in exchange for stock</w:t>
      </w:r>
      <w:r w:rsidRPr="000D0D66">
        <w:rPr>
          <w:sz w:val="22"/>
          <w:szCs w:val="22"/>
          <w:highlight w:val="yellow"/>
        </w:rPr>
        <w:t xml:space="preserve"> in such corporation and immediately after the exchange such person or persons are in </w:t>
      </w:r>
      <w:r w:rsidRPr="000D0D66">
        <w:rPr>
          <w:b/>
          <w:sz w:val="22"/>
          <w:szCs w:val="22"/>
          <w:highlight w:val="yellow"/>
          <w:u w:val="single"/>
        </w:rPr>
        <w:t>control</w:t>
      </w:r>
      <w:r w:rsidRPr="000D0D66">
        <w:rPr>
          <w:sz w:val="22"/>
          <w:szCs w:val="22"/>
          <w:highlight w:val="yellow"/>
        </w:rPr>
        <w:t xml:space="preserve"> (as defined in </w:t>
      </w:r>
      <w:r w:rsidRPr="000D0D66">
        <w:rPr>
          <w:rStyle w:val="link"/>
          <w:sz w:val="22"/>
          <w:szCs w:val="22"/>
          <w:highlight w:val="yellow"/>
        </w:rPr>
        <w:t>section 368(c)</w:t>
      </w:r>
      <w:r w:rsidRPr="000D0D66">
        <w:rPr>
          <w:sz w:val="22"/>
          <w:szCs w:val="22"/>
          <w:highlight w:val="yellow"/>
        </w:rPr>
        <w:t>) of the corporation.</w:t>
      </w:r>
    </w:p>
    <w:p w:rsidR="007E4F03" w:rsidRDefault="007E4F03" w:rsidP="003702BC">
      <w:pPr>
        <w:pStyle w:val="hp"/>
        <w:spacing w:before="60" w:beforeAutospacing="0" w:after="0" w:afterAutospacing="0" w:line="240" w:lineRule="atLeast"/>
        <w:ind w:hanging="144"/>
        <w:rPr>
          <w:sz w:val="22"/>
          <w:szCs w:val="22"/>
        </w:rPr>
      </w:pPr>
      <w:r w:rsidRPr="00F52DE2">
        <w:rPr>
          <w:rStyle w:val="docheadspacer"/>
          <w:b/>
          <w:szCs w:val="22"/>
        </w:rPr>
        <w:t xml:space="preserve">(b) </w:t>
      </w:r>
      <w:r w:rsidRPr="00F52DE2">
        <w:rPr>
          <w:rStyle w:val="smallcap"/>
          <w:b/>
          <w:szCs w:val="22"/>
        </w:rPr>
        <w:t>Receipt of Property</w:t>
      </w:r>
      <w:r w:rsidRPr="00F52DE2">
        <w:rPr>
          <w:b/>
          <w:szCs w:val="22"/>
        </w:rPr>
        <w:t xml:space="preserve">. </w:t>
      </w:r>
    </w:p>
    <w:p w:rsidR="007E4F03" w:rsidRPr="000D0D66" w:rsidRDefault="007E4F03" w:rsidP="00484C3A">
      <w:pPr>
        <w:pStyle w:val="hp"/>
        <w:spacing w:before="0" w:beforeAutospacing="0" w:after="0" w:afterAutospacing="0" w:line="240" w:lineRule="atLeast"/>
        <w:rPr>
          <w:sz w:val="22"/>
          <w:szCs w:val="22"/>
          <w:highlight w:val="yellow"/>
        </w:rPr>
      </w:pPr>
      <w:bookmarkStart w:id="6" w:name="subdoc41"/>
      <w:bookmarkEnd w:id="6"/>
      <w:r w:rsidRPr="000D0D66">
        <w:rPr>
          <w:b/>
          <w:bCs/>
          <w:sz w:val="22"/>
          <w:szCs w:val="22"/>
          <w:highlight w:val="yellow"/>
        </w:rPr>
        <w:t xml:space="preserve">(1) </w:t>
      </w:r>
      <w:r w:rsidRPr="000D0D66">
        <w:rPr>
          <w:b/>
          <w:sz w:val="22"/>
          <w:szCs w:val="22"/>
          <w:highlight w:val="yellow"/>
          <w:u w:val="single"/>
        </w:rPr>
        <w:t>gain (if any)</w:t>
      </w:r>
      <w:r w:rsidRPr="000D0D66">
        <w:rPr>
          <w:sz w:val="22"/>
          <w:szCs w:val="22"/>
          <w:highlight w:val="yellow"/>
        </w:rPr>
        <w:t xml:space="preserve"> to such recipient shall be r</w:t>
      </w:r>
      <w:r w:rsidR="00484C3A" w:rsidRPr="000D0D66">
        <w:rPr>
          <w:sz w:val="22"/>
          <w:szCs w:val="22"/>
          <w:highlight w:val="yellow"/>
        </w:rPr>
        <w:t xml:space="preserve">ecognized, but not in </w:t>
      </w:r>
      <w:r w:rsidR="00484C3A" w:rsidRPr="000D0D66">
        <w:rPr>
          <w:b/>
          <w:sz w:val="22"/>
          <w:szCs w:val="22"/>
          <w:highlight w:val="yellow"/>
          <w:u w:val="single"/>
        </w:rPr>
        <w:t>excess</w:t>
      </w:r>
      <w:r w:rsidR="00484C3A" w:rsidRPr="000D0D66">
        <w:rPr>
          <w:sz w:val="22"/>
          <w:szCs w:val="22"/>
          <w:highlight w:val="yellow"/>
        </w:rPr>
        <w:t xml:space="preserve"> of-</w:t>
      </w:r>
    </w:p>
    <w:p w:rsidR="007E4F03" w:rsidRPr="000D0D66" w:rsidRDefault="007E4F03" w:rsidP="00484C3A">
      <w:pPr>
        <w:pStyle w:val="hp"/>
        <w:spacing w:before="0" w:beforeAutospacing="0" w:after="0" w:afterAutospacing="0" w:line="240" w:lineRule="atLeast"/>
        <w:ind w:left="288"/>
        <w:rPr>
          <w:sz w:val="22"/>
          <w:szCs w:val="22"/>
          <w:highlight w:val="yellow"/>
        </w:rPr>
      </w:pPr>
      <w:bookmarkStart w:id="7" w:name="subdoc43"/>
      <w:bookmarkEnd w:id="7"/>
      <w:r w:rsidRPr="000D0D66">
        <w:rPr>
          <w:b/>
          <w:bCs/>
          <w:sz w:val="22"/>
          <w:szCs w:val="22"/>
          <w:highlight w:val="yellow"/>
        </w:rPr>
        <w:t xml:space="preserve">(A)  </w:t>
      </w:r>
      <w:r w:rsidRPr="000D0D66">
        <w:rPr>
          <w:sz w:val="22"/>
          <w:szCs w:val="22"/>
          <w:highlight w:val="yellow"/>
        </w:rPr>
        <w:t xml:space="preserve">the amount </w:t>
      </w:r>
      <w:r w:rsidRPr="000D0D66">
        <w:rPr>
          <w:b/>
          <w:sz w:val="22"/>
          <w:szCs w:val="22"/>
          <w:highlight w:val="yellow"/>
          <w:u w:val="single"/>
        </w:rPr>
        <w:t>of money</w:t>
      </w:r>
      <w:r w:rsidRPr="000D0D66">
        <w:rPr>
          <w:sz w:val="22"/>
          <w:szCs w:val="22"/>
          <w:highlight w:val="yellow"/>
        </w:rPr>
        <w:t xml:space="preserve"> received, plus</w:t>
      </w:r>
    </w:p>
    <w:p w:rsidR="007E4F03" w:rsidRPr="000D0D66" w:rsidRDefault="007E4F03" w:rsidP="00484C3A">
      <w:pPr>
        <w:pStyle w:val="hp"/>
        <w:spacing w:before="0" w:beforeAutospacing="0" w:after="0" w:afterAutospacing="0" w:line="240" w:lineRule="atLeast"/>
        <w:ind w:left="288"/>
        <w:rPr>
          <w:sz w:val="22"/>
          <w:szCs w:val="22"/>
          <w:highlight w:val="yellow"/>
        </w:rPr>
      </w:pPr>
      <w:r w:rsidRPr="000D0D66">
        <w:rPr>
          <w:b/>
          <w:bCs/>
          <w:sz w:val="22"/>
          <w:szCs w:val="22"/>
          <w:highlight w:val="yellow"/>
        </w:rPr>
        <w:t xml:space="preserve">(B)  </w:t>
      </w:r>
      <w:r w:rsidRPr="000D0D66">
        <w:rPr>
          <w:sz w:val="22"/>
          <w:szCs w:val="22"/>
          <w:highlight w:val="yellow"/>
        </w:rPr>
        <w:t xml:space="preserve">the </w:t>
      </w:r>
      <w:r w:rsidRPr="000D0D66">
        <w:rPr>
          <w:b/>
          <w:sz w:val="22"/>
          <w:szCs w:val="22"/>
          <w:highlight w:val="yellow"/>
          <w:u w:val="single"/>
        </w:rPr>
        <w:t>fair market value</w:t>
      </w:r>
      <w:r w:rsidRPr="000D0D66">
        <w:rPr>
          <w:sz w:val="22"/>
          <w:szCs w:val="22"/>
          <w:highlight w:val="yellow"/>
        </w:rPr>
        <w:t xml:space="preserve"> of such other </w:t>
      </w:r>
      <w:r w:rsidR="00CF3369">
        <w:rPr>
          <w:sz w:val="22"/>
          <w:szCs w:val="22"/>
          <w:highlight w:val="yellow"/>
        </w:rPr>
        <w:br/>
      </w:r>
      <w:r w:rsidRPr="000D0D66">
        <w:rPr>
          <w:sz w:val="22"/>
          <w:szCs w:val="22"/>
          <w:highlight w:val="yellow"/>
        </w:rPr>
        <w:t>property received; and</w:t>
      </w:r>
    </w:p>
    <w:p w:rsidR="007E4F03" w:rsidRPr="00484C3A" w:rsidRDefault="007E4F03" w:rsidP="00484C3A">
      <w:pPr>
        <w:pStyle w:val="hp"/>
        <w:spacing w:before="0" w:beforeAutospacing="0" w:after="0" w:afterAutospacing="0" w:line="240" w:lineRule="atLeast"/>
        <w:rPr>
          <w:sz w:val="22"/>
          <w:szCs w:val="22"/>
        </w:rPr>
      </w:pPr>
      <w:bookmarkStart w:id="8" w:name="subdoc47"/>
      <w:bookmarkEnd w:id="8"/>
      <w:r w:rsidRPr="000D0D66">
        <w:rPr>
          <w:b/>
          <w:bCs/>
          <w:sz w:val="22"/>
          <w:szCs w:val="22"/>
          <w:highlight w:val="yellow"/>
        </w:rPr>
        <w:t xml:space="preserve">(2)  </w:t>
      </w:r>
      <w:r w:rsidRPr="000D0D66">
        <w:rPr>
          <w:b/>
          <w:sz w:val="22"/>
          <w:szCs w:val="22"/>
          <w:highlight w:val="yellow"/>
          <w:u w:val="single"/>
        </w:rPr>
        <w:t>no loss</w:t>
      </w:r>
      <w:r w:rsidRPr="000D0D66">
        <w:rPr>
          <w:sz w:val="22"/>
          <w:szCs w:val="22"/>
          <w:highlight w:val="yellow"/>
        </w:rPr>
        <w:t xml:space="preserve"> to such recipient shall be recognized.</w:t>
      </w:r>
    </w:p>
    <w:p w:rsidR="00F07DCB" w:rsidRPr="00873C6F" w:rsidRDefault="00F07DCB" w:rsidP="00784C20">
      <w:pPr>
        <w:pStyle w:val="Heading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beforeAutospacing="0" w:after="0" w:afterAutospacing="0" w:line="240" w:lineRule="atLeast"/>
        <w:ind w:left="-144" w:right="720"/>
        <w:rPr>
          <w:sz w:val="28"/>
          <w:szCs w:val="22"/>
        </w:rPr>
      </w:pPr>
      <w:bookmarkStart w:id="9" w:name="subdoc49"/>
      <w:bookmarkEnd w:id="9"/>
      <w:r w:rsidRPr="000D0D66">
        <w:rPr>
          <w:rStyle w:val="docheadspacer"/>
          <w:sz w:val="28"/>
          <w:szCs w:val="22"/>
          <w:highlight w:val="yellow"/>
        </w:rPr>
        <w:t>Sec. 357.</w:t>
      </w:r>
      <w:r w:rsidR="00484C3A" w:rsidRPr="000D0D66">
        <w:rPr>
          <w:rStyle w:val="docheadspacer"/>
          <w:sz w:val="28"/>
          <w:szCs w:val="22"/>
          <w:highlight w:val="yellow"/>
        </w:rPr>
        <w:t xml:space="preserve"> </w:t>
      </w:r>
      <w:r w:rsidR="00484C3A" w:rsidRPr="000D0D66">
        <w:rPr>
          <w:sz w:val="28"/>
          <w:szCs w:val="22"/>
          <w:highlight w:val="yellow"/>
        </w:rPr>
        <w:t>Assumption of Liability</w:t>
      </w:r>
    </w:p>
    <w:p w:rsidR="00F07DCB" w:rsidRPr="00484C3A" w:rsidRDefault="00F07DCB" w:rsidP="00B20D8F">
      <w:pPr>
        <w:pStyle w:val="hp"/>
        <w:spacing w:before="0" w:beforeAutospacing="0" w:after="0" w:afterAutospacing="0" w:line="240" w:lineRule="atLeast"/>
        <w:ind w:left="-144"/>
        <w:rPr>
          <w:sz w:val="22"/>
          <w:szCs w:val="22"/>
        </w:rPr>
      </w:pPr>
      <w:bookmarkStart w:id="10" w:name="subdoc5"/>
      <w:bookmarkEnd w:id="10"/>
      <w:r w:rsidRPr="00F77FA4">
        <w:rPr>
          <w:rStyle w:val="docheadspacer"/>
          <w:b/>
          <w:szCs w:val="22"/>
        </w:rPr>
        <w:t xml:space="preserve">(a) </w:t>
      </w:r>
      <w:r w:rsidRPr="00F77FA4">
        <w:rPr>
          <w:rStyle w:val="smallcap"/>
          <w:b/>
          <w:szCs w:val="22"/>
        </w:rPr>
        <w:t>General Rule</w:t>
      </w:r>
      <w:r w:rsidRPr="00F77FA4">
        <w:rPr>
          <w:szCs w:val="22"/>
        </w:rPr>
        <w:t xml:space="preserve">. </w:t>
      </w:r>
      <w:r w:rsidR="005F06A2">
        <w:rPr>
          <w:sz w:val="22"/>
          <w:szCs w:val="22"/>
        </w:rPr>
        <w:t>…</w:t>
      </w:r>
    </w:p>
    <w:p w:rsidR="00F07DCB" w:rsidRPr="00484C3A" w:rsidRDefault="00F07DCB" w:rsidP="00484C3A">
      <w:pPr>
        <w:pStyle w:val="hp"/>
        <w:spacing w:before="0" w:beforeAutospacing="0" w:after="0" w:afterAutospacing="0" w:line="240" w:lineRule="atLeast"/>
        <w:rPr>
          <w:sz w:val="22"/>
          <w:szCs w:val="22"/>
        </w:rPr>
      </w:pPr>
      <w:bookmarkStart w:id="11" w:name="subdoc11"/>
      <w:bookmarkEnd w:id="11"/>
      <w:r w:rsidRPr="00484C3A">
        <w:rPr>
          <w:b/>
          <w:bCs/>
          <w:sz w:val="22"/>
          <w:szCs w:val="22"/>
        </w:rPr>
        <w:t xml:space="preserve">(1) </w:t>
      </w:r>
      <w:r w:rsidRPr="00484C3A">
        <w:rPr>
          <w:sz w:val="22"/>
          <w:szCs w:val="22"/>
        </w:rPr>
        <w:t>ta</w:t>
      </w:r>
      <w:r w:rsidR="00A82B23">
        <w:rPr>
          <w:sz w:val="22"/>
          <w:szCs w:val="22"/>
        </w:rPr>
        <w:t>xpayer receives property</w:t>
      </w:r>
      <w:r w:rsidRPr="00484C3A">
        <w:rPr>
          <w:sz w:val="22"/>
          <w:szCs w:val="22"/>
        </w:rPr>
        <w:t xml:space="preserve"> </w:t>
      </w:r>
      <w:r w:rsidRPr="00C14145">
        <w:rPr>
          <w:b/>
          <w:sz w:val="22"/>
          <w:szCs w:val="22"/>
          <w:u w:val="single"/>
        </w:rPr>
        <w:t xml:space="preserve">under </w:t>
      </w:r>
      <w:r w:rsidR="00BE5D44">
        <w:rPr>
          <w:rStyle w:val="link"/>
          <w:b/>
          <w:sz w:val="22"/>
          <w:szCs w:val="22"/>
          <w:u w:val="single"/>
        </w:rPr>
        <w:t>sec,</w:t>
      </w:r>
      <w:r w:rsidRPr="00C14145">
        <w:rPr>
          <w:rStyle w:val="link"/>
          <w:b/>
          <w:sz w:val="22"/>
          <w:szCs w:val="22"/>
          <w:u w:val="single"/>
        </w:rPr>
        <w:t xml:space="preserve"> 351</w:t>
      </w:r>
      <w:r w:rsidRPr="00484C3A">
        <w:rPr>
          <w:sz w:val="22"/>
          <w:szCs w:val="22"/>
        </w:rPr>
        <w:t>, and</w:t>
      </w:r>
    </w:p>
    <w:p w:rsidR="00F07DCB" w:rsidRPr="000D0D66" w:rsidRDefault="00F07DCB" w:rsidP="00484C3A">
      <w:pPr>
        <w:pStyle w:val="hp"/>
        <w:spacing w:before="0" w:beforeAutospacing="0" w:after="0" w:afterAutospacing="0" w:line="240" w:lineRule="atLeast"/>
        <w:rPr>
          <w:sz w:val="22"/>
          <w:szCs w:val="22"/>
          <w:highlight w:val="yellow"/>
        </w:rPr>
      </w:pPr>
      <w:bookmarkStart w:id="12" w:name="subdoc15"/>
      <w:bookmarkEnd w:id="12"/>
      <w:r w:rsidRPr="000D0D66">
        <w:rPr>
          <w:b/>
          <w:bCs/>
          <w:sz w:val="22"/>
          <w:szCs w:val="22"/>
          <w:highlight w:val="yellow"/>
        </w:rPr>
        <w:t xml:space="preserve">(2) </w:t>
      </w:r>
      <w:r w:rsidRPr="000D0D66">
        <w:rPr>
          <w:sz w:val="22"/>
          <w:szCs w:val="22"/>
          <w:highlight w:val="yellow"/>
        </w:rPr>
        <w:t xml:space="preserve">as part of the consideration, </w:t>
      </w:r>
      <w:r w:rsidRPr="000D0D66">
        <w:rPr>
          <w:b/>
          <w:sz w:val="22"/>
          <w:szCs w:val="22"/>
          <w:highlight w:val="yellow"/>
          <w:u w:val="single"/>
        </w:rPr>
        <w:t>another party</w:t>
      </w:r>
      <w:r w:rsidRPr="000D0D66">
        <w:rPr>
          <w:sz w:val="22"/>
          <w:szCs w:val="22"/>
          <w:highlight w:val="yellow"/>
        </w:rPr>
        <w:t xml:space="preserve"> to </w:t>
      </w:r>
      <w:r w:rsidR="00CF3369">
        <w:rPr>
          <w:sz w:val="22"/>
          <w:szCs w:val="22"/>
          <w:highlight w:val="yellow"/>
        </w:rPr>
        <w:br/>
      </w:r>
      <w:r w:rsidRPr="000D0D66">
        <w:rPr>
          <w:sz w:val="22"/>
          <w:szCs w:val="22"/>
          <w:highlight w:val="yellow"/>
        </w:rPr>
        <w:t xml:space="preserve">the exchange </w:t>
      </w:r>
      <w:r w:rsidRPr="000D0D66">
        <w:rPr>
          <w:b/>
          <w:sz w:val="22"/>
          <w:szCs w:val="22"/>
          <w:highlight w:val="yellow"/>
          <w:u w:val="single"/>
        </w:rPr>
        <w:t>assumes a liability of the taxpayer</w:t>
      </w:r>
      <w:r w:rsidRPr="000D0D66">
        <w:rPr>
          <w:sz w:val="22"/>
          <w:szCs w:val="22"/>
          <w:highlight w:val="yellow"/>
        </w:rPr>
        <w:t>,</w:t>
      </w:r>
    </w:p>
    <w:p w:rsidR="00F07DCB" w:rsidRPr="00484C3A" w:rsidRDefault="00F07DCB" w:rsidP="00484C3A">
      <w:pPr>
        <w:pStyle w:val="hp"/>
        <w:spacing w:before="0" w:beforeAutospacing="0" w:after="0" w:afterAutospacing="0" w:line="240" w:lineRule="atLeast"/>
        <w:rPr>
          <w:sz w:val="22"/>
          <w:szCs w:val="22"/>
        </w:rPr>
      </w:pPr>
      <w:r w:rsidRPr="000D0D66">
        <w:rPr>
          <w:sz w:val="22"/>
          <w:szCs w:val="22"/>
          <w:highlight w:val="yellow"/>
        </w:rPr>
        <w:t xml:space="preserve">then such </w:t>
      </w:r>
      <w:r w:rsidRPr="000D0D66">
        <w:rPr>
          <w:b/>
          <w:sz w:val="22"/>
          <w:szCs w:val="22"/>
          <w:highlight w:val="yellow"/>
          <w:u w:val="single"/>
        </w:rPr>
        <w:t>assumption shall not be treated as money</w:t>
      </w:r>
      <w:r w:rsidRPr="000D0D66">
        <w:rPr>
          <w:b/>
          <w:sz w:val="22"/>
          <w:szCs w:val="22"/>
          <w:highlight w:val="yellow"/>
        </w:rPr>
        <w:t xml:space="preserve"> or other property, and shall not prevent the exchange from being within the provisions of </w:t>
      </w:r>
      <w:r w:rsidRPr="000D0D66">
        <w:rPr>
          <w:rStyle w:val="link"/>
          <w:b/>
          <w:sz w:val="22"/>
          <w:szCs w:val="22"/>
          <w:highlight w:val="yellow"/>
        </w:rPr>
        <w:t>section 351</w:t>
      </w:r>
      <w:r w:rsidRPr="000D0D66">
        <w:rPr>
          <w:sz w:val="22"/>
          <w:szCs w:val="22"/>
          <w:highlight w:val="yellow"/>
        </w:rPr>
        <w:t xml:space="preserve"> or </w:t>
      </w:r>
      <w:proofErr w:type="gramStart"/>
      <w:r w:rsidRPr="000D0D66">
        <w:rPr>
          <w:rStyle w:val="link"/>
          <w:sz w:val="22"/>
          <w:szCs w:val="22"/>
          <w:highlight w:val="yellow"/>
        </w:rPr>
        <w:t>361</w:t>
      </w:r>
      <w:r w:rsidRPr="000D0D66">
        <w:rPr>
          <w:sz w:val="22"/>
          <w:szCs w:val="22"/>
          <w:highlight w:val="yellow"/>
        </w:rPr>
        <w:t>, as the case may be</w:t>
      </w:r>
      <w:proofErr w:type="gramEnd"/>
      <w:r w:rsidRPr="000D0D66">
        <w:rPr>
          <w:sz w:val="22"/>
          <w:szCs w:val="22"/>
          <w:highlight w:val="yellow"/>
        </w:rPr>
        <w:t>.</w:t>
      </w:r>
    </w:p>
    <w:p w:rsidR="00F07DCB" w:rsidRPr="00F77FA4" w:rsidRDefault="00F07DCB" w:rsidP="00F77FA4">
      <w:pPr>
        <w:pStyle w:val="Heading2"/>
        <w:spacing w:before="120" w:beforeAutospacing="0" w:after="0" w:afterAutospacing="0" w:line="240" w:lineRule="atLeast"/>
        <w:ind w:left="-144"/>
        <w:rPr>
          <w:sz w:val="24"/>
          <w:szCs w:val="22"/>
        </w:rPr>
      </w:pPr>
      <w:bookmarkStart w:id="13" w:name="subdoc20"/>
      <w:bookmarkEnd w:id="13"/>
      <w:r w:rsidRPr="00F77FA4">
        <w:rPr>
          <w:rStyle w:val="docheadspacer"/>
          <w:sz w:val="24"/>
          <w:szCs w:val="22"/>
        </w:rPr>
        <w:t xml:space="preserve">(b) </w:t>
      </w:r>
      <w:r w:rsidRPr="00F77FA4">
        <w:rPr>
          <w:rStyle w:val="smallcap"/>
          <w:sz w:val="24"/>
          <w:szCs w:val="22"/>
        </w:rPr>
        <w:t>Tax Avoidance Purpose</w:t>
      </w:r>
      <w:r w:rsidR="005F06A2">
        <w:rPr>
          <w:rStyle w:val="smallcap"/>
          <w:sz w:val="24"/>
          <w:szCs w:val="22"/>
        </w:rPr>
        <w:t>…</w:t>
      </w:r>
    </w:p>
    <w:p w:rsidR="00F07DCB" w:rsidRPr="00873C6F" w:rsidRDefault="00F07DCB" w:rsidP="00F77FA4">
      <w:pPr>
        <w:pStyle w:val="Heading2"/>
        <w:spacing w:before="120" w:beforeAutospacing="0" w:after="0" w:afterAutospacing="0" w:line="240" w:lineRule="atLeast"/>
        <w:ind w:left="-144"/>
        <w:rPr>
          <w:sz w:val="28"/>
          <w:szCs w:val="22"/>
        </w:rPr>
      </w:pPr>
      <w:bookmarkStart w:id="14" w:name="subdoc23"/>
      <w:bookmarkStart w:id="15" w:name="subdoc38"/>
      <w:bookmarkEnd w:id="14"/>
      <w:bookmarkEnd w:id="15"/>
      <w:r w:rsidRPr="00873C6F">
        <w:rPr>
          <w:rStyle w:val="docheadspacer"/>
          <w:sz w:val="28"/>
          <w:szCs w:val="22"/>
        </w:rPr>
        <w:t xml:space="preserve">(c) </w:t>
      </w:r>
      <w:r w:rsidRPr="00873C6F">
        <w:rPr>
          <w:rStyle w:val="smallcap"/>
          <w:sz w:val="28"/>
          <w:szCs w:val="22"/>
        </w:rPr>
        <w:t xml:space="preserve">Liabilities </w:t>
      </w:r>
      <w:proofErr w:type="gramStart"/>
      <w:r w:rsidRPr="00873C6F">
        <w:rPr>
          <w:rStyle w:val="smallcap"/>
          <w:sz w:val="28"/>
          <w:szCs w:val="22"/>
        </w:rPr>
        <w:t>in Excess of</w:t>
      </w:r>
      <w:proofErr w:type="gramEnd"/>
      <w:r w:rsidRPr="00873C6F">
        <w:rPr>
          <w:rStyle w:val="smallcap"/>
          <w:sz w:val="28"/>
          <w:szCs w:val="22"/>
        </w:rPr>
        <w:t xml:space="preserve"> Basis.</w:t>
      </w:r>
    </w:p>
    <w:p w:rsidR="00F07DCB" w:rsidRPr="00484C3A" w:rsidRDefault="00F07DCB" w:rsidP="005F06A2">
      <w:pPr>
        <w:pStyle w:val="hp"/>
        <w:spacing w:before="0" w:beforeAutospacing="0" w:after="0" w:afterAutospacing="0" w:line="240" w:lineRule="atLeast"/>
        <w:ind w:left="-144"/>
        <w:rPr>
          <w:sz w:val="22"/>
          <w:szCs w:val="22"/>
        </w:rPr>
      </w:pPr>
      <w:r w:rsidRPr="00484C3A">
        <w:rPr>
          <w:rStyle w:val="docheadspacer"/>
          <w:b/>
          <w:sz w:val="22"/>
          <w:szCs w:val="22"/>
        </w:rPr>
        <w:t>(1)</w:t>
      </w:r>
      <w:r w:rsidR="00484C3A">
        <w:rPr>
          <w:rStyle w:val="docheadspacer"/>
          <w:b/>
          <w:sz w:val="22"/>
          <w:szCs w:val="22"/>
        </w:rPr>
        <w:t xml:space="preserve"> </w:t>
      </w:r>
      <w:r w:rsidRPr="00484C3A">
        <w:rPr>
          <w:rStyle w:val="smallcap"/>
          <w:b/>
          <w:sz w:val="22"/>
          <w:szCs w:val="22"/>
        </w:rPr>
        <w:t xml:space="preserve">In </w:t>
      </w:r>
      <w:proofErr w:type="gramStart"/>
      <w:r w:rsidRPr="00484C3A">
        <w:rPr>
          <w:rStyle w:val="smallcap"/>
          <w:b/>
          <w:sz w:val="22"/>
          <w:szCs w:val="22"/>
        </w:rPr>
        <w:t>general</w:t>
      </w:r>
      <w:r w:rsidRPr="00484C3A">
        <w:rPr>
          <w:b/>
          <w:sz w:val="22"/>
          <w:szCs w:val="22"/>
        </w:rPr>
        <w:t>.</w:t>
      </w:r>
      <w:r w:rsidRPr="00484C3A">
        <w:rPr>
          <w:sz w:val="22"/>
          <w:szCs w:val="22"/>
        </w:rPr>
        <w:t xml:space="preserve"> </w:t>
      </w:r>
      <w:r w:rsidR="005F06A2">
        <w:rPr>
          <w:sz w:val="22"/>
          <w:szCs w:val="22"/>
        </w:rPr>
        <w:t>..</w:t>
      </w:r>
      <w:proofErr w:type="gramEnd"/>
    </w:p>
    <w:p w:rsidR="00F07DCB" w:rsidRDefault="00F07DCB" w:rsidP="005F06A2">
      <w:pPr>
        <w:pStyle w:val="hp"/>
        <w:spacing w:before="0" w:beforeAutospacing="0" w:after="0" w:afterAutospacing="0" w:line="220" w:lineRule="atLeast"/>
        <w:ind w:left="144"/>
        <w:rPr>
          <w:rStyle w:val="smallcap"/>
          <w:sz w:val="22"/>
          <w:szCs w:val="22"/>
        </w:rPr>
      </w:pPr>
      <w:r w:rsidRPr="000D0D66">
        <w:rPr>
          <w:sz w:val="22"/>
          <w:szCs w:val="22"/>
          <w:highlight w:val="yellow"/>
        </w:rPr>
        <w:t xml:space="preserve">if the sum of the amount of the </w:t>
      </w:r>
      <w:r w:rsidRPr="000D0D66">
        <w:rPr>
          <w:b/>
          <w:sz w:val="22"/>
          <w:szCs w:val="22"/>
          <w:highlight w:val="yellow"/>
          <w:u w:val="single"/>
        </w:rPr>
        <w:t xml:space="preserve">liabilities assumed </w:t>
      </w:r>
      <w:r w:rsidRPr="000D0D66">
        <w:rPr>
          <w:rFonts w:ascii="Arial Black" w:hAnsi="Arial Black"/>
          <w:b/>
          <w:sz w:val="22"/>
          <w:szCs w:val="22"/>
          <w:highlight w:val="yellow"/>
          <w:u w:val="single"/>
        </w:rPr>
        <w:t xml:space="preserve">exceeds </w:t>
      </w:r>
      <w:r w:rsidRPr="000D0D66">
        <w:rPr>
          <w:b/>
          <w:sz w:val="22"/>
          <w:szCs w:val="22"/>
          <w:highlight w:val="yellow"/>
          <w:u w:val="single"/>
        </w:rPr>
        <w:t>the total of the adjusted basis</w:t>
      </w:r>
      <w:r w:rsidRPr="000D0D66">
        <w:rPr>
          <w:sz w:val="22"/>
          <w:szCs w:val="22"/>
          <w:highlight w:val="yellow"/>
        </w:rPr>
        <w:t xml:space="preserve"> of the property transferred pursuant to such exchange, </w:t>
      </w:r>
      <w:r w:rsidR="00CF3369">
        <w:rPr>
          <w:sz w:val="22"/>
          <w:szCs w:val="22"/>
          <w:highlight w:val="yellow"/>
        </w:rPr>
        <w:br/>
      </w:r>
      <w:r w:rsidRPr="000D0D66">
        <w:rPr>
          <w:sz w:val="22"/>
          <w:szCs w:val="22"/>
          <w:highlight w:val="yellow"/>
        </w:rPr>
        <w:t xml:space="preserve">then such </w:t>
      </w:r>
      <w:r w:rsidRPr="000D0D66">
        <w:rPr>
          <w:rFonts w:ascii="Arial Black" w:hAnsi="Arial Black"/>
          <w:b/>
          <w:sz w:val="22"/>
          <w:szCs w:val="22"/>
          <w:highlight w:val="yellow"/>
          <w:u w:val="single"/>
        </w:rPr>
        <w:t>excess</w:t>
      </w:r>
      <w:r w:rsidRPr="000D0D66">
        <w:rPr>
          <w:sz w:val="22"/>
          <w:szCs w:val="22"/>
          <w:highlight w:val="yellow"/>
        </w:rPr>
        <w:t xml:space="preserve"> shall be considered as a </w:t>
      </w:r>
      <w:r w:rsidRPr="000D0D66">
        <w:rPr>
          <w:b/>
          <w:sz w:val="22"/>
          <w:szCs w:val="22"/>
          <w:highlight w:val="yellow"/>
          <w:u w:val="single"/>
        </w:rPr>
        <w:t>gain</w:t>
      </w:r>
      <w:r w:rsidRPr="000D0D66">
        <w:rPr>
          <w:sz w:val="22"/>
          <w:szCs w:val="22"/>
          <w:highlight w:val="yellow"/>
        </w:rPr>
        <w:t xml:space="preserve"> </w:t>
      </w:r>
      <w:r w:rsidRPr="000D0D66">
        <w:rPr>
          <w:sz w:val="20"/>
          <w:szCs w:val="22"/>
          <w:highlight w:val="yellow"/>
        </w:rPr>
        <w:t xml:space="preserve">from the sale or exchange of a capital asset or of </w:t>
      </w:r>
      <w:r w:rsidR="00CF3369">
        <w:rPr>
          <w:sz w:val="20"/>
          <w:szCs w:val="22"/>
          <w:highlight w:val="yellow"/>
        </w:rPr>
        <w:br/>
      </w:r>
      <w:r w:rsidRPr="000D0D66">
        <w:rPr>
          <w:sz w:val="20"/>
          <w:szCs w:val="22"/>
          <w:highlight w:val="yellow"/>
        </w:rPr>
        <w:t xml:space="preserve">property which is not a capital </w:t>
      </w:r>
      <w:proofErr w:type="gramStart"/>
      <w:r w:rsidRPr="000D0D66">
        <w:rPr>
          <w:sz w:val="20"/>
          <w:szCs w:val="22"/>
          <w:highlight w:val="yellow"/>
        </w:rPr>
        <w:t>asset, as the case may be</w:t>
      </w:r>
      <w:proofErr w:type="gramEnd"/>
      <w:r w:rsidRPr="000D0D66">
        <w:rPr>
          <w:sz w:val="20"/>
          <w:szCs w:val="22"/>
          <w:highlight w:val="yellow"/>
        </w:rPr>
        <w:t>.</w:t>
      </w:r>
      <w:bookmarkStart w:id="16" w:name="subdoc54"/>
      <w:bookmarkStart w:id="17" w:name="subdoc63"/>
      <w:bookmarkEnd w:id="16"/>
      <w:bookmarkEnd w:id="17"/>
      <w:r w:rsidR="00BE5D44">
        <w:rPr>
          <w:sz w:val="20"/>
          <w:szCs w:val="22"/>
        </w:rPr>
        <w:br/>
      </w:r>
    </w:p>
    <w:p w:rsidR="00F66C09" w:rsidRPr="00A82B23" w:rsidRDefault="00F66C09" w:rsidP="005F06A2">
      <w:pPr>
        <w:pStyle w:val="hp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before="0" w:beforeAutospacing="0" w:after="0" w:afterAutospacing="0" w:line="240" w:lineRule="atLeast"/>
        <w:rPr>
          <w:b/>
          <w:sz w:val="28"/>
          <w:szCs w:val="22"/>
        </w:rPr>
      </w:pPr>
      <w:bookmarkStart w:id="18" w:name="subdoc66"/>
      <w:bookmarkEnd w:id="18"/>
      <w:r w:rsidRPr="00A82B23">
        <w:rPr>
          <w:rStyle w:val="docheadspacer"/>
          <w:b/>
          <w:sz w:val="32"/>
          <w:szCs w:val="22"/>
          <w:highlight w:val="yellow"/>
        </w:rPr>
        <w:t xml:space="preserve">Sec. 358. </w:t>
      </w:r>
      <w:r w:rsidRPr="00A82B23">
        <w:rPr>
          <w:b/>
          <w:sz w:val="32"/>
          <w:szCs w:val="22"/>
          <w:highlight w:val="yellow"/>
        </w:rPr>
        <w:t xml:space="preserve">Basis to </w:t>
      </w:r>
      <w:proofErr w:type="spellStart"/>
      <w:r w:rsidRPr="00A82B23">
        <w:rPr>
          <w:b/>
          <w:sz w:val="32"/>
          <w:szCs w:val="22"/>
          <w:highlight w:val="yellow"/>
        </w:rPr>
        <w:t>Distributees</w:t>
      </w:r>
      <w:proofErr w:type="spellEnd"/>
      <w:r w:rsidR="00873C6F" w:rsidRPr="00A82B23">
        <w:rPr>
          <w:b/>
          <w:sz w:val="32"/>
          <w:szCs w:val="22"/>
          <w:bdr w:val="single" w:sz="12" w:space="0" w:color="auto"/>
        </w:rPr>
        <w:t xml:space="preserve"> </w:t>
      </w:r>
    </w:p>
    <w:p w:rsidR="00F66C09" w:rsidRPr="00F87B2F" w:rsidRDefault="00F66C09" w:rsidP="00B20D8F">
      <w:pPr>
        <w:pStyle w:val="hp"/>
        <w:spacing w:before="0" w:beforeAutospacing="0" w:after="0" w:afterAutospacing="0" w:line="240" w:lineRule="atLeast"/>
        <w:ind w:left="-144"/>
        <w:rPr>
          <w:szCs w:val="22"/>
        </w:rPr>
      </w:pPr>
      <w:bookmarkStart w:id="19" w:name="subdoc17"/>
      <w:bookmarkEnd w:id="19"/>
      <w:r w:rsidRPr="00F87B2F">
        <w:rPr>
          <w:rStyle w:val="docheadspacer"/>
          <w:b/>
          <w:sz w:val="28"/>
          <w:szCs w:val="22"/>
        </w:rPr>
        <w:t xml:space="preserve">(a) </w:t>
      </w:r>
      <w:r w:rsidRPr="00F87B2F">
        <w:rPr>
          <w:rStyle w:val="smallcap"/>
          <w:b/>
          <w:sz w:val="28"/>
          <w:szCs w:val="22"/>
        </w:rPr>
        <w:t xml:space="preserve">General </w:t>
      </w:r>
      <w:proofErr w:type="gramStart"/>
      <w:r w:rsidRPr="00F87B2F">
        <w:rPr>
          <w:rStyle w:val="smallcap"/>
          <w:b/>
          <w:sz w:val="28"/>
          <w:szCs w:val="22"/>
        </w:rPr>
        <w:t>Rule</w:t>
      </w:r>
      <w:r w:rsidRPr="00F87B2F">
        <w:rPr>
          <w:b/>
          <w:szCs w:val="22"/>
        </w:rPr>
        <w:t>.</w:t>
      </w:r>
      <w:r w:rsidRPr="00F87B2F">
        <w:rPr>
          <w:szCs w:val="22"/>
        </w:rPr>
        <w:t xml:space="preserve"> </w:t>
      </w:r>
      <w:r w:rsidR="005F06A2" w:rsidRPr="00F87B2F">
        <w:rPr>
          <w:szCs w:val="22"/>
        </w:rPr>
        <w:t>..</w:t>
      </w:r>
      <w:proofErr w:type="gramEnd"/>
    </w:p>
    <w:p w:rsidR="00F66C09" w:rsidRPr="000D0D66" w:rsidRDefault="00F66C09" w:rsidP="00484C3A">
      <w:pPr>
        <w:pStyle w:val="hp"/>
        <w:spacing w:before="0" w:beforeAutospacing="0" w:after="0" w:afterAutospacing="0" w:line="240" w:lineRule="atLeast"/>
        <w:rPr>
          <w:sz w:val="22"/>
          <w:szCs w:val="22"/>
          <w:highlight w:val="yellow"/>
        </w:rPr>
      </w:pPr>
      <w:r w:rsidRPr="000D0D66">
        <w:rPr>
          <w:rStyle w:val="docheadspacer"/>
          <w:rFonts w:ascii="Arial Black" w:hAnsi="Arial Black"/>
          <w:b/>
          <w:szCs w:val="22"/>
          <w:highlight w:val="yellow"/>
          <w:u w:val="single"/>
        </w:rPr>
        <w:t xml:space="preserve">(1) </w:t>
      </w:r>
      <w:r w:rsidRPr="000D0D66">
        <w:rPr>
          <w:rStyle w:val="smallcap"/>
          <w:rFonts w:ascii="Arial Black" w:hAnsi="Arial Black"/>
          <w:b/>
          <w:szCs w:val="22"/>
          <w:highlight w:val="yellow"/>
          <w:u w:val="single"/>
        </w:rPr>
        <w:t>Nonrecognition property</w:t>
      </w:r>
      <w:r w:rsidRPr="000D0D66">
        <w:rPr>
          <w:rFonts w:ascii="Arial Black" w:hAnsi="Arial Black"/>
          <w:b/>
          <w:szCs w:val="22"/>
          <w:highlight w:val="yellow"/>
          <w:u w:val="single"/>
        </w:rPr>
        <w:t>.</w:t>
      </w:r>
      <w:r w:rsidRPr="000D0D66">
        <w:rPr>
          <w:szCs w:val="22"/>
          <w:highlight w:val="yellow"/>
        </w:rPr>
        <w:t xml:space="preserve"> </w:t>
      </w:r>
      <w:r w:rsidRPr="000D0D66">
        <w:rPr>
          <w:sz w:val="22"/>
          <w:szCs w:val="22"/>
          <w:highlight w:val="yellow"/>
        </w:rPr>
        <w:t xml:space="preserve">The </w:t>
      </w:r>
      <w:r w:rsidRPr="000D0D66">
        <w:rPr>
          <w:b/>
          <w:sz w:val="22"/>
          <w:szCs w:val="22"/>
          <w:highlight w:val="yellow"/>
          <w:u w:val="single"/>
        </w:rPr>
        <w:t xml:space="preserve">basis </w:t>
      </w:r>
      <w:r w:rsidRPr="000D0D66">
        <w:rPr>
          <w:sz w:val="22"/>
          <w:szCs w:val="22"/>
          <w:highlight w:val="yellow"/>
        </w:rPr>
        <w:t xml:space="preserve">of the property permitted to be </w:t>
      </w:r>
      <w:r w:rsidRPr="000D0D66">
        <w:rPr>
          <w:b/>
          <w:sz w:val="22"/>
          <w:szCs w:val="22"/>
          <w:highlight w:val="yellow"/>
          <w:u w:val="single"/>
        </w:rPr>
        <w:t>received</w:t>
      </w:r>
      <w:r w:rsidRPr="000D0D66">
        <w:rPr>
          <w:sz w:val="22"/>
          <w:szCs w:val="22"/>
          <w:highlight w:val="yellow"/>
        </w:rPr>
        <w:t xml:space="preserve"> under such section without the recognition of gain or loss shall be the </w:t>
      </w:r>
      <w:r w:rsidRPr="000D0D66">
        <w:rPr>
          <w:b/>
          <w:sz w:val="22"/>
          <w:szCs w:val="22"/>
          <w:highlight w:val="yellow"/>
          <w:u w:val="single"/>
        </w:rPr>
        <w:t>same as that of th</w:t>
      </w:r>
      <w:r w:rsidR="00484C3A" w:rsidRPr="000D0D66">
        <w:rPr>
          <w:b/>
          <w:sz w:val="22"/>
          <w:szCs w:val="22"/>
          <w:highlight w:val="yellow"/>
          <w:u w:val="single"/>
        </w:rPr>
        <w:t>e property exchanged</w:t>
      </w:r>
      <w:r w:rsidR="00484C3A" w:rsidRPr="000D0D66">
        <w:rPr>
          <w:sz w:val="22"/>
          <w:szCs w:val="22"/>
          <w:highlight w:val="yellow"/>
        </w:rPr>
        <w:t>-</w:t>
      </w:r>
    </w:p>
    <w:p w:rsidR="00F66C09" w:rsidRPr="00F87B2F" w:rsidRDefault="00F66C09" w:rsidP="00484C3A">
      <w:pPr>
        <w:pStyle w:val="hp"/>
        <w:spacing w:before="0" w:beforeAutospacing="0" w:after="0" w:afterAutospacing="0" w:line="240" w:lineRule="atLeast"/>
        <w:rPr>
          <w:sz w:val="28"/>
          <w:szCs w:val="22"/>
          <w:highlight w:val="yellow"/>
        </w:rPr>
      </w:pPr>
      <w:bookmarkStart w:id="20" w:name="subdoc25"/>
      <w:bookmarkEnd w:id="20"/>
      <w:r w:rsidRPr="00F87B2F">
        <w:rPr>
          <w:b/>
          <w:bCs/>
          <w:sz w:val="28"/>
          <w:szCs w:val="22"/>
          <w:highlight w:val="yellow"/>
        </w:rPr>
        <w:t xml:space="preserve">(A) </w:t>
      </w:r>
      <w:r w:rsidR="00484C3A" w:rsidRPr="00F87B2F">
        <w:rPr>
          <w:b/>
          <w:sz w:val="28"/>
          <w:szCs w:val="22"/>
          <w:highlight w:val="yellow"/>
        </w:rPr>
        <w:t>decreased by-</w:t>
      </w:r>
    </w:p>
    <w:p w:rsidR="00F66C09" w:rsidRPr="000D0D66" w:rsidRDefault="00F66C09" w:rsidP="00B20D8F">
      <w:pPr>
        <w:pStyle w:val="hp"/>
        <w:spacing w:before="0" w:beforeAutospacing="0" w:after="0" w:afterAutospacing="0" w:line="240" w:lineRule="atLeast"/>
        <w:ind w:left="540" w:hanging="252"/>
        <w:rPr>
          <w:sz w:val="22"/>
          <w:szCs w:val="22"/>
          <w:highlight w:val="yellow"/>
        </w:rPr>
      </w:pPr>
      <w:r w:rsidRPr="000D0D66">
        <w:rPr>
          <w:b/>
          <w:bCs/>
          <w:sz w:val="22"/>
          <w:szCs w:val="22"/>
          <w:highlight w:val="yellow"/>
        </w:rPr>
        <w:t>(</w:t>
      </w:r>
      <w:proofErr w:type="spellStart"/>
      <w:r w:rsidRPr="000D0D66">
        <w:rPr>
          <w:b/>
          <w:bCs/>
          <w:sz w:val="22"/>
          <w:szCs w:val="22"/>
          <w:highlight w:val="yellow"/>
        </w:rPr>
        <w:t>i</w:t>
      </w:r>
      <w:proofErr w:type="spellEnd"/>
      <w:r w:rsidRPr="000D0D66">
        <w:rPr>
          <w:b/>
          <w:bCs/>
          <w:sz w:val="22"/>
          <w:szCs w:val="22"/>
          <w:highlight w:val="yellow"/>
        </w:rPr>
        <w:t xml:space="preserve">) </w:t>
      </w:r>
      <w:r w:rsidRPr="000D0D66">
        <w:rPr>
          <w:sz w:val="22"/>
          <w:szCs w:val="22"/>
          <w:highlight w:val="yellow"/>
        </w:rPr>
        <w:t xml:space="preserve">the </w:t>
      </w:r>
      <w:r w:rsidRPr="00F87B2F">
        <w:rPr>
          <w:b/>
          <w:sz w:val="22"/>
          <w:szCs w:val="22"/>
          <w:highlight w:val="yellow"/>
        </w:rPr>
        <w:t>fair market value of any other property</w:t>
      </w:r>
      <w:r w:rsidRPr="000D0D66">
        <w:rPr>
          <w:sz w:val="22"/>
          <w:szCs w:val="22"/>
          <w:highlight w:val="yellow"/>
        </w:rPr>
        <w:t xml:space="preserve"> (except money) </w:t>
      </w:r>
      <w:r w:rsidRPr="00F87B2F">
        <w:rPr>
          <w:b/>
          <w:sz w:val="22"/>
          <w:szCs w:val="22"/>
          <w:highlight w:val="yellow"/>
        </w:rPr>
        <w:t>received</w:t>
      </w:r>
      <w:r w:rsidRPr="000D0D66">
        <w:rPr>
          <w:sz w:val="22"/>
          <w:szCs w:val="22"/>
          <w:highlight w:val="yellow"/>
        </w:rPr>
        <w:t xml:space="preserve"> by the taxpayer,</w:t>
      </w:r>
    </w:p>
    <w:p w:rsidR="00F66C09" w:rsidRPr="000D0D66" w:rsidRDefault="00F66C09" w:rsidP="00B20D8F">
      <w:pPr>
        <w:pStyle w:val="hp"/>
        <w:spacing w:before="0" w:beforeAutospacing="0" w:after="0" w:afterAutospacing="0" w:line="240" w:lineRule="atLeast"/>
        <w:ind w:left="540" w:hanging="252"/>
        <w:rPr>
          <w:sz w:val="22"/>
          <w:szCs w:val="22"/>
          <w:highlight w:val="yellow"/>
        </w:rPr>
      </w:pPr>
      <w:r w:rsidRPr="000D0D66">
        <w:rPr>
          <w:b/>
          <w:bCs/>
          <w:sz w:val="22"/>
          <w:szCs w:val="22"/>
          <w:highlight w:val="yellow"/>
        </w:rPr>
        <w:t xml:space="preserve">(ii) </w:t>
      </w:r>
      <w:r w:rsidRPr="000D0D66">
        <w:rPr>
          <w:sz w:val="22"/>
          <w:szCs w:val="22"/>
          <w:highlight w:val="yellow"/>
        </w:rPr>
        <w:t xml:space="preserve">the amount of any </w:t>
      </w:r>
      <w:r w:rsidRPr="00F87B2F">
        <w:rPr>
          <w:b/>
          <w:sz w:val="22"/>
          <w:szCs w:val="22"/>
          <w:highlight w:val="yellow"/>
        </w:rPr>
        <w:t>money received</w:t>
      </w:r>
      <w:r w:rsidRPr="000D0D66">
        <w:rPr>
          <w:sz w:val="22"/>
          <w:szCs w:val="22"/>
          <w:highlight w:val="yellow"/>
        </w:rPr>
        <w:t xml:space="preserve"> by the taxpayer, and</w:t>
      </w:r>
    </w:p>
    <w:p w:rsidR="00F66C09" w:rsidRPr="000D0D66" w:rsidRDefault="00F66C09" w:rsidP="00B20D8F">
      <w:pPr>
        <w:pStyle w:val="hp"/>
        <w:spacing w:before="0" w:beforeAutospacing="0" w:after="0" w:afterAutospacing="0" w:line="240" w:lineRule="atLeast"/>
        <w:ind w:left="540" w:hanging="252"/>
        <w:rPr>
          <w:sz w:val="22"/>
          <w:szCs w:val="22"/>
          <w:highlight w:val="yellow"/>
        </w:rPr>
      </w:pPr>
      <w:bookmarkStart w:id="21" w:name="subdoc31"/>
      <w:bookmarkEnd w:id="21"/>
      <w:r w:rsidRPr="000D0D66">
        <w:rPr>
          <w:b/>
          <w:bCs/>
          <w:sz w:val="22"/>
          <w:szCs w:val="22"/>
          <w:highlight w:val="yellow"/>
        </w:rPr>
        <w:t xml:space="preserve">(iii) </w:t>
      </w:r>
      <w:r w:rsidRPr="000D0D66">
        <w:rPr>
          <w:sz w:val="22"/>
          <w:szCs w:val="22"/>
          <w:highlight w:val="yellow"/>
        </w:rPr>
        <w:t xml:space="preserve">the amount of </w:t>
      </w:r>
      <w:r w:rsidRPr="00F87B2F">
        <w:rPr>
          <w:b/>
          <w:sz w:val="22"/>
          <w:szCs w:val="22"/>
          <w:highlight w:val="yellow"/>
        </w:rPr>
        <w:t>loss to the taxpayer</w:t>
      </w:r>
      <w:r w:rsidRPr="000D0D66">
        <w:rPr>
          <w:sz w:val="22"/>
          <w:szCs w:val="22"/>
          <w:highlight w:val="yellow"/>
        </w:rPr>
        <w:t xml:space="preserve"> which </w:t>
      </w:r>
      <w:r w:rsidR="00CF3369">
        <w:rPr>
          <w:sz w:val="22"/>
          <w:szCs w:val="22"/>
          <w:highlight w:val="yellow"/>
        </w:rPr>
        <w:br/>
      </w:r>
      <w:r w:rsidRPr="000D0D66">
        <w:rPr>
          <w:sz w:val="22"/>
          <w:szCs w:val="22"/>
          <w:highlight w:val="yellow"/>
        </w:rPr>
        <w:t xml:space="preserve">was </w:t>
      </w:r>
      <w:r w:rsidRPr="00F87B2F">
        <w:rPr>
          <w:b/>
          <w:sz w:val="22"/>
          <w:szCs w:val="22"/>
          <w:highlight w:val="yellow"/>
        </w:rPr>
        <w:t xml:space="preserve">recognized </w:t>
      </w:r>
      <w:r w:rsidRPr="000D0D66">
        <w:rPr>
          <w:sz w:val="22"/>
          <w:szCs w:val="22"/>
          <w:highlight w:val="yellow"/>
        </w:rPr>
        <w:t>on such exchange, and</w:t>
      </w:r>
    </w:p>
    <w:p w:rsidR="00F66C09" w:rsidRPr="00F87B2F" w:rsidRDefault="00F66C09" w:rsidP="00484C3A">
      <w:pPr>
        <w:pStyle w:val="hp"/>
        <w:spacing w:before="0" w:beforeAutospacing="0" w:after="0" w:afterAutospacing="0" w:line="240" w:lineRule="atLeast"/>
        <w:rPr>
          <w:sz w:val="28"/>
          <w:szCs w:val="22"/>
          <w:highlight w:val="yellow"/>
        </w:rPr>
      </w:pPr>
      <w:bookmarkStart w:id="22" w:name="subdoc33"/>
      <w:bookmarkEnd w:id="22"/>
      <w:r w:rsidRPr="00F87B2F">
        <w:rPr>
          <w:b/>
          <w:bCs/>
          <w:sz w:val="28"/>
          <w:szCs w:val="22"/>
          <w:highlight w:val="yellow"/>
        </w:rPr>
        <w:t xml:space="preserve">(B)  </w:t>
      </w:r>
      <w:r w:rsidRPr="00F87B2F">
        <w:rPr>
          <w:b/>
          <w:sz w:val="28"/>
          <w:szCs w:val="22"/>
          <w:highlight w:val="yellow"/>
        </w:rPr>
        <w:t>increased by—</w:t>
      </w:r>
    </w:p>
    <w:p w:rsidR="00F66C09" w:rsidRPr="000D0D66" w:rsidRDefault="00F66C09" w:rsidP="00C14145">
      <w:pPr>
        <w:pStyle w:val="hp"/>
        <w:spacing w:before="0" w:beforeAutospacing="0" w:after="0" w:afterAutospacing="0" w:line="240" w:lineRule="atLeast"/>
        <w:ind w:left="288" w:right="-288"/>
        <w:rPr>
          <w:sz w:val="22"/>
          <w:szCs w:val="22"/>
          <w:highlight w:val="yellow"/>
        </w:rPr>
      </w:pPr>
      <w:bookmarkStart w:id="23" w:name="subdoc35"/>
      <w:bookmarkEnd w:id="23"/>
      <w:r w:rsidRPr="000D0D66">
        <w:rPr>
          <w:b/>
          <w:bCs/>
          <w:sz w:val="22"/>
          <w:szCs w:val="22"/>
          <w:highlight w:val="yellow"/>
        </w:rPr>
        <w:t>(</w:t>
      </w:r>
      <w:proofErr w:type="spellStart"/>
      <w:r w:rsidRPr="000D0D66">
        <w:rPr>
          <w:b/>
          <w:bCs/>
          <w:sz w:val="22"/>
          <w:szCs w:val="22"/>
          <w:highlight w:val="yellow"/>
        </w:rPr>
        <w:t>i</w:t>
      </w:r>
      <w:proofErr w:type="spellEnd"/>
      <w:r w:rsidRPr="000D0D66">
        <w:rPr>
          <w:b/>
          <w:bCs/>
          <w:sz w:val="22"/>
          <w:szCs w:val="22"/>
          <w:highlight w:val="yellow"/>
        </w:rPr>
        <w:t xml:space="preserve">)  </w:t>
      </w:r>
      <w:r w:rsidRPr="000D0D66">
        <w:rPr>
          <w:sz w:val="22"/>
          <w:szCs w:val="22"/>
          <w:highlight w:val="yellow"/>
        </w:rPr>
        <w:t>the amount which was treated as a dividend, and</w:t>
      </w:r>
    </w:p>
    <w:p w:rsidR="00F66C09" w:rsidRPr="00484C3A" w:rsidRDefault="00F66C09" w:rsidP="00484C3A">
      <w:pPr>
        <w:pStyle w:val="hp"/>
        <w:spacing w:before="0" w:beforeAutospacing="0" w:after="0" w:afterAutospacing="0" w:line="240" w:lineRule="atLeast"/>
        <w:ind w:left="288"/>
        <w:rPr>
          <w:sz w:val="22"/>
          <w:szCs w:val="22"/>
        </w:rPr>
      </w:pPr>
      <w:bookmarkStart w:id="24" w:name="subdoc37"/>
      <w:bookmarkEnd w:id="24"/>
      <w:r w:rsidRPr="000D0D66">
        <w:rPr>
          <w:b/>
          <w:bCs/>
          <w:sz w:val="22"/>
          <w:szCs w:val="22"/>
          <w:highlight w:val="yellow"/>
        </w:rPr>
        <w:t xml:space="preserve">(ii)  </w:t>
      </w:r>
      <w:r w:rsidRPr="000D0D66">
        <w:rPr>
          <w:sz w:val="22"/>
          <w:szCs w:val="22"/>
          <w:highlight w:val="yellow"/>
        </w:rPr>
        <w:t xml:space="preserve">the amount of </w:t>
      </w:r>
      <w:r w:rsidRPr="00F87B2F">
        <w:rPr>
          <w:b/>
          <w:sz w:val="22"/>
          <w:szCs w:val="22"/>
          <w:highlight w:val="yellow"/>
        </w:rPr>
        <w:t>gain to the taxpayer which w</w:t>
      </w:r>
      <w:r w:rsidR="00F87B2F" w:rsidRPr="00F87B2F">
        <w:rPr>
          <w:b/>
          <w:sz w:val="22"/>
          <w:szCs w:val="22"/>
          <w:highlight w:val="yellow"/>
        </w:rPr>
        <w:t xml:space="preserve">as recognized </w:t>
      </w:r>
      <w:r w:rsidR="00F87B2F">
        <w:rPr>
          <w:sz w:val="22"/>
          <w:szCs w:val="22"/>
          <w:highlight w:val="yellow"/>
        </w:rPr>
        <w:t>on such exchange</w:t>
      </w:r>
      <w:proofErr w:type="gramStart"/>
      <w:r w:rsidR="00F87B2F">
        <w:rPr>
          <w:sz w:val="22"/>
          <w:szCs w:val="22"/>
          <w:highlight w:val="yellow"/>
        </w:rPr>
        <w:t xml:space="preserve"> ..</w:t>
      </w:r>
      <w:proofErr w:type="gramEnd"/>
    </w:p>
    <w:p w:rsidR="00F66C09" w:rsidRPr="00484C3A" w:rsidRDefault="00F66C09" w:rsidP="00F87B2F">
      <w:pPr>
        <w:pStyle w:val="hp"/>
        <w:spacing w:before="0" w:beforeAutospacing="0" w:after="0" w:afterAutospacing="0" w:line="240" w:lineRule="atLeast"/>
        <w:rPr>
          <w:sz w:val="22"/>
          <w:szCs w:val="22"/>
        </w:rPr>
      </w:pPr>
      <w:bookmarkStart w:id="25" w:name="subdoc39"/>
      <w:bookmarkEnd w:id="25"/>
      <w:r w:rsidRPr="000D0D66">
        <w:rPr>
          <w:rStyle w:val="docheadspacer"/>
          <w:rFonts w:ascii="Arial Black" w:hAnsi="Arial Black"/>
          <w:b/>
          <w:szCs w:val="22"/>
          <w:highlight w:val="yellow"/>
          <w:u w:val="single"/>
        </w:rPr>
        <w:t>(2) Other property.</w:t>
      </w:r>
      <w:r w:rsidRPr="000D0D66">
        <w:rPr>
          <w:rStyle w:val="docheadspacer"/>
          <w:b/>
          <w:sz w:val="28"/>
          <w:highlight w:val="yellow"/>
        </w:rPr>
        <w:t xml:space="preserve"> </w:t>
      </w:r>
      <w:r w:rsidRPr="000D0D66">
        <w:rPr>
          <w:rStyle w:val="docheadspacer"/>
          <w:highlight w:val="yellow"/>
        </w:rPr>
        <w:t>The</w:t>
      </w:r>
      <w:r w:rsidRPr="000D0D66">
        <w:rPr>
          <w:rStyle w:val="docheadspacer"/>
          <w:b/>
          <w:highlight w:val="yellow"/>
          <w:u w:val="single"/>
        </w:rPr>
        <w:t xml:space="preserve"> basis</w:t>
      </w:r>
      <w:r w:rsidRPr="000D0D66">
        <w:rPr>
          <w:rStyle w:val="docheadspacer"/>
          <w:highlight w:val="yellow"/>
        </w:rPr>
        <w:t xml:space="preserve"> of any </w:t>
      </w:r>
      <w:r w:rsidR="00CF3369">
        <w:rPr>
          <w:rStyle w:val="docheadspacer"/>
          <w:highlight w:val="yellow"/>
        </w:rPr>
        <w:br/>
      </w:r>
      <w:r w:rsidRPr="000D0D66">
        <w:rPr>
          <w:rStyle w:val="docheadspacer"/>
          <w:b/>
          <w:highlight w:val="yellow"/>
          <w:u w:val="single"/>
        </w:rPr>
        <w:t>other property</w:t>
      </w:r>
      <w:r w:rsidRPr="000D0D66">
        <w:rPr>
          <w:sz w:val="22"/>
          <w:szCs w:val="22"/>
          <w:highlight w:val="yellow"/>
        </w:rPr>
        <w:t xml:space="preserve"> (except money) received by the taxpayer shall be its </w:t>
      </w:r>
      <w:r w:rsidRPr="000D0D66">
        <w:rPr>
          <w:b/>
          <w:sz w:val="22"/>
          <w:szCs w:val="22"/>
          <w:highlight w:val="yellow"/>
          <w:u w:val="single"/>
        </w:rPr>
        <w:t>fair market value</w:t>
      </w:r>
      <w:r w:rsidRPr="000D0D66">
        <w:rPr>
          <w:sz w:val="22"/>
          <w:szCs w:val="22"/>
          <w:highlight w:val="yellow"/>
        </w:rPr>
        <w:t>.</w:t>
      </w:r>
    </w:p>
    <w:p w:rsidR="00F66C09" w:rsidRPr="000D0D66" w:rsidRDefault="00F66C09" w:rsidP="00F52DE2">
      <w:pPr>
        <w:pStyle w:val="Heading2"/>
        <w:spacing w:before="120" w:beforeAutospacing="0" w:after="0" w:afterAutospacing="0" w:line="240" w:lineRule="atLeast"/>
        <w:ind w:left="-144"/>
        <w:rPr>
          <w:sz w:val="24"/>
          <w:szCs w:val="22"/>
          <w:highlight w:val="yellow"/>
        </w:rPr>
      </w:pPr>
      <w:bookmarkStart w:id="26" w:name="subdoc64"/>
      <w:bookmarkEnd w:id="26"/>
      <w:r w:rsidRPr="000D0D66">
        <w:rPr>
          <w:rStyle w:val="docheadspacer"/>
          <w:sz w:val="24"/>
          <w:szCs w:val="22"/>
          <w:highlight w:val="yellow"/>
        </w:rPr>
        <w:t xml:space="preserve">(d) </w:t>
      </w:r>
      <w:r w:rsidRPr="000D0D66">
        <w:rPr>
          <w:rStyle w:val="smallcap"/>
          <w:sz w:val="24"/>
          <w:szCs w:val="22"/>
          <w:highlight w:val="yellow"/>
        </w:rPr>
        <w:t>Assumption of Liability.</w:t>
      </w:r>
    </w:p>
    <w:p w:rsidR="00F66C09" w:rsidRPr="00484C3A" w:rsidRDefault="00F66C09" w:rsidP="00B20D8F">
      <w:pPr>
        <w:pStyle w:val="hp"/>
        <w:spacing w:before="0" w:beforeAutospacing="0" w:after="0" w:afterAutospacing="0" w:line="240" w:lineRule="atLeast"/>
        <w:ind w:left="270" w:hanging="270"/>
        <w:rPr>
          <w:sz w:val="22"/>
          <w:szCs w:val="22"/>
        </w:rPr>
      </w:pPr>
      <w:r w:rsidRPr="000D0D66">
        <w:rPr>
          <w:rStyle w:val="docheadspacer"/>
          <w:b/>
          <w:sz w:val="22"/>
          <w:szCs w:val="22"/>
          <w:highlight w:val="yellow"/>
        </w:rPr>
        <w:t>(1)</w:t>
      </w:r>
      <w:r w:rsidR="006D399A" w:rsidRPr="000D0D66">
        <w:rPr>
          <w:rStyle w:val="docheadspacer"/>
          <w:b/>
          <w:sz w:val="22"/>
          <w:szCs w:val="22"/>
          <w:highlight w:val="yellow"/>
        </w:rPr>
        <w:t xml:space="preserve"> </w:t>
      </w:r>
      <w:r w:rsidRPr="000D0D66">
        <w:rPr>
          <w:rStyle w:val="smallcap"/>
          <w:b/>
          <w:sz w:val="22"/>
          <w:szCs w:val="22"/>
          <w:highlight w:val="yellow"/>
        </w:rPr>
        <w:t>In general</w:t>
      </w:r>
      <w:r w:rsidRPr="000D0D66">
        <w:rPr>
          <w:b/>
          <w:sz w:val="22"/>
          <w:szCs w:val="22"/>
          <w:highlight w:val="yellow"/>
        </w:rPr>
        <w:t>.</w:t>
      </w:r>
      <w:r w:rsidRPr="000D0D66">
        <w:rPr>
          <w:sz w:val="22"/>
          <w:szCs w:val="22"/>
          <w:highlight w:val="yellow"/>
        </w:rPr>
        <w:t xml:space="preserve"> Where, as part of the consideration </w:t>
      </w:r>
      <w:r w:rsidR="00CF3369">
        <w:rPr>
          <w:sz w:val="22"/>
          <w:szCs w:val="22"/>
          <w:highlight w:val="yellow"/>
        </w:rPr>
        <w:br/>
      </w:r>
      <w:r w:rsidRPr="000D0D66">
        <w:rPr>
          <w:sz w:val="22"/>
          <w:szCs w:val="22"/>
          <w:highlight w:val="yellow"/>
        </w:rPr>
        <w:t xml:space="preserve">to the taxpayer, another party to the exchange </w:t>
      </w:r>
      <w:r w:rsidRPr="000D0D66">
        <w:rPr>
          <w:b/>
          <w:sz w:val="22"/>
          <w:szCs w:val="22"/>
          <w:highlight w:val="yellow"/>
          <w:u w:val="single"/>
        </w:rPr>
        <w:t>assumed a liability of the taxpayer</w:t>
      </w:r>
      <w:r w:rsidRPr="000D0D66">
        <w:rPr>
          <w:sz w:val="22"/>
          <w:szCs w:val="22"/>
          <w:highlight w:val="yellow"/>
        </w:rPr>
        <w:t xml:space="preserve">, such assumption shall, for purposes of this section, </w:t>
      </w:r>
      <w:r w:rsidR="00CF3369">
        <w:rPr>
          <w:sz w:val="22"/>
          <w:szCs w:val="22"/>
          <w:highlight w:val="yellow"/>
        </w:rPr>
        <w:br/>
      </w:r>
      <w:r w:rsidRPr="000D0D66">
        <w:rPr>
          <w:rFonts w:ascii="Arial Black" w:hAnsi="Arial Black"/>
          <w:b/>
          <w:sz w:val="22"/>
          <w:szCs w:val="22"/>
          <w:highlight w:val="yellow"/>
          <w:u w:val="single"/>
        </w:rPr>
        <w:t>be treated as money received</w:t>
      </w:r>
      <w:r w:rsidRPr="000D0D66">
        <w:rPr>
          <w:sz w:val="22"/>
          <w:szCs w:val="22"/>
          <w:highlight w:val="yellow"/>
        </w:rPr>
        <w:t xml:space="preserve"> by </w:t>
      </w:r>
      <w:r w:rsidR="00CF3369">
        <w:rPr>
          <w:sz w:val="22"/>
          <w:szCs w:val="22"/>
          <w:highlight w:val="yellow"/>
        </w:rPr>
        <w:br/>
      </w:r>
      <w:r w:rsidRPr="000D0D66">
        <w:rPr>
          <w:sz w:val="22"/>
          <w:szCs w:val="22"/>
          <w:highlight w:val="yellow"/>
        </w:rPr>
        <w:t>the taxpayer on the exchange.</w:t>
      </w:r>
    </w:p>
    <w:p w:rsidR="00F66C09" w:rsidRPr="00873C6F" w:rsidRDefault="00F66C09" w:rsidP="00784C20">
      <w:pPr>
        <w:pStyle w:val="Heading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beforeAutospacing="0" w:after="0" w:afterAutospacing="0" w:line="240" w:lineRule="atLeast"/>
        <w:ind w:left="-144" w:right="720"/>
        <w:rPr>
          <w:sz w:val="28"/>
          <w:szCs w:val="22"/>
        </w:rPr>
      </w:pPr>
      <w:r w:rsidRPr="000D0D66">
        <w:rPr>
          <w:rStyle w:val="docheadspacer"/>
          <w:sz w:val="28"/>
          <w:szCs w:val="22"/>
          <w:highlight w:val="yellow"/>
        </w:rPr>
        <w:t xml:space="preserve">Sec. 362. </w:t>
      </w:r>
      <w:r w:rsidR="00A05FC2" w:rsidRPr="000D0D66">
        <w:rPr>
          <w:sz w:val="28"/>
          <w:szCs w:val="22"/>
          <w:highlight w:val="yellow"/>
        </w:rPr>
        <w:t>Basis to Corporations</w:t>
      </w:r>
    </w:p>
    <w:p w:rsidR="00F66C09" w:rsidRPr="00484C3A" w:rsidRDefault="00F66C09" w:rsidP="005F06A2">
      <w:pPr>
        <w:pStyle w:val="hp"/>
        <w:spacing w:before="0" w:beforeAutospacing="0" w:after="0" w:afterAutospacing="0" w:line="240" w:lineRule="atLeast"/>
        <w:rPr>
          <w:sz w:val="22"/>
          <w:szCs w:val="22"/>
        </w:rPr>
      </w:pPr>
      <w:bookmarkStart w:id="27" w:name="subdoc14"/>
      <w:bookmarkEnd w:id="27"/>
      <w:r w:rsidRPr="00484C3A">
        <w:rPr>
          <w:rStyle w:val="docheadspacer"/>
          <w:b/>
          <w:sz w:val="22"/>
          <w:szCs w:val="22"/>
        </w:rPr>
        <w:t>(a)</w:t>
      </w:r>
      <w:r w:rsidR="00A05FC2" w:rsidRPr="00484C3A">
        <w:rPr>
          <w:rStyle w:val="docheadspacer"/>
          <w:b/>
          <w:sz w:val="22"/>
          <w:szCs w:val="22"/>
        </w:rPr>
        <w:t xml:space="preserve"> </w:t>
      </w:r>
      <w:r w:rsidRPr="00484C3A">
        <w:rPr>
          <w:rStyle w:val="smallcap"/>
          <w:b/>
          <w:sz w:val="22"/>
          <w:szCs w:val="22"/>
        </w:rPr>
        <w:t>Property Acquired by Issuanc</w:t>
      </w:r>
      <w:r w:rsidR="005F06A2">
        <w:rPr>
          <w:rStyle w:val="smallcap"/>
          <w:b/>
          <w:sz w:val="22"/>
          <w:szCs w:val="22"/>
        </w:rPr>
        <w:t>e of Stock</w:t>
      </w:r>
      <w:r w:rsidR="00A05FC2" w:rsidRPr="00484C3A">
        <w:rPr>
          <w:b/>
          <w:sz w:val="22"/>
          <w:szCs w:val="22"/>
        </w:rPr>
        <w:t>.</w:t>
      </w:r>
      <w:r w:rsidR="00A05FC2" w:rsidRPr="00484C3A">
        <w:rPr>
          <w:sz w:val="22"/>
          <w:szCs w:val="22"/>
        </w:rPr>
        <w:t xml:space="preserve"> </w:t>
      </w:r>
      <w:r w:rsidRPr="00484C3A">
        <w:rPr>
          <w:sz w:val="22"/>
          <w:szCs w:val="22"/>
        </w:rPr>
        <w:t>If property was acquired</w:t>
      </w:r>
      <w:bookmarkStart w:id="28" w:name="subdoc18"/>
      <w:bookmarkEnd w:id="28"/>
      <w:r w:rsidRPr="00484C3A">
        <w:rPr>
          <w:b/>
          <w:bCs/>
          <w:sz w:val="22"/>
          <w:szCs w:val="22"/>
        </w:rPr>
        <w:t xml:space="preserve"> </w:t>
      </w:r>
      <w:proofErr w:type="gramStart"/>
      <w:r w:rsidRPr="00484C3A">
        <w:rPr>
          <w:sz w:val="22"/>
          <w:szCs w:val="22"/>
        </w:rPr>
        <w:t>in connection with</w:t>
      </w:r>
      <w:proofErr w:type="gramEnd"/>
      <w:r w:rsidRPr="00484C3A">
        <w:rPr>
          <w:sz w:val="22"/>
          <w:szCs w:val="22"/>
        </w:rPr>
        <w:t xml:space="preserve"> a </w:t>
      </w:r>
      <w:r w:rsidR="005F06A2" w:rsidRPr="00484C3A">
        <w:rPr>
          <w:rStyle w:val="link"/>
          <w:sz w:val="22"/>
          <w:szCs w:val="22"/>
        </w:rPr>
        <w:t>section 351</w:t>
      </w:r>
      <w:r w:rsidR="005F06A2" w:rsidRPr="00484C3A">
        <w:rPr>
          <w:sz w:val="22"/>
          <w:szCs w:val="22"/>
        </w:rPr>
        <w:t xml:space="preserve"> </w:t>
      </w:r>
      <w:r w:rsidR="00F87B2F">
        <w:rPr>
          <w:sz w:val="22"/>
          <w:szCs w:val="22"/>
        </w:rPr>
        <w:t>transaction…</w:t>
      </w:r>
    </w:p>
    <w:p w:rsidR="00AC231F" w:rsidRPr="00F87B2F" w:rsidRDefault="00F66C09" w:rsidP="00F87B2F">
      <w:pPr>
        <w:pStyle w:val="hp"/>
        <w:spacing w:before="0" w:beforeAutospacing="0" w:after="0" w:afterAutospacing="0" w:line="240" w:lineRule="atLeast"/>
        <w:ind w:right="-144"/>
        <w:rPr>
          <w:rStyle w:val="docheadspacer"/>
          <w:b/>
          <w:sz w:val="22"/>
          <w:szCs w:val="22"/>
          <w:u w:val="single"/>
        </w:rPr>
      </w:pPr>
      <w:r w:rsidRPr="00484C3A">
        <w:rPr>
          <w:b/>
          <w:bCs/>
          <w:sz w:val="22"/>
          <w:szCs w:val="22"/>
        </w:rPr>
        <w:t xml:space="preserve">(2) </w:t>
      </w:r>
      <w:r w:rsidR="005F06A2">
        <w:rPr>
          <w:sz w:val="22"/>
          <w:szCs w:val="22"/>
        </w:rPr>
        <w:t>..</w:t>
      </w:r>
      <w:r w:rsidRPr="006D399A">
        <w:rPr>
          <w:b/>
          <w:sz w:val="22"/>
          <w:szCs w:val="22"/>
        </w:rPr>
        <w:t xml:space="preserve"> the </w:t>
      </w:r>
      <w:r w:rsidRPr="000D0D66">
        <w:rPr>
          <w:b/>
          <w:sz w:val="22"/>
          <w:szCs w:val="22"/>
          <w:highlight w:val="yellow"/>
          <w:u w:val="single"/>
        </w:rPr>
        <w:t>basis</w:t>
      </w:r>
      <w:r w:rsidRPr="000D0D66">
        <w:rPr>
          <w:b/>
          <w:sz w:val="22"/>
          <w:szCs w:val="22"/>
          <w:highlight w:val="yellow"/>
        </w:rPr>
        <w:t xml:space="preserve"> shall be the </w:t>
      </w:r>
      <w:r w:rsidRPr="000D0D66">
        <w:rPr>
          <w:b/>
          <w:sz w:val="22"/>
          <w:szCs w:val="22"/>
          <w:highlight w:val="yellow"/>
          <w:u w:val="single"/>
        </w:rPr>
        <w:t>same</w:t>
      </w:r>
      <w:r w:rsidRPr="000D0D66">
        <w:rPr>
          <w:b/>
          <w:sz w:val="22"/>
          <w:szCs w:val="22"/>
          <w:highlight w:val="yellow"/>
        </w:rPr>
        <w:t xml:space="preserve"> as it would be in the </w:t>
      </w:r>
      <w:r w:rsidRPr="000D0D66">
        <w:rPr>
          <w:b/>
          <w:sz w:val="22"/>
          <w:szCs w:val="22"/>
          <w:highlight w:val="yellow"/>
          <w:u w:val="single"/>
        </w:rPr>
        <w:t>hands of the transferor</w:t>
      </w:r>
      <w:r w:rsidRPr="000D0D66">
        <w:rPr>
          <w:b/>
          <w:sz w:val="22"/>
          <w:szCs w:val="22"/>
          <w:highlight w:val="yellow"/>
        </w:rPr>
        <w:t>,</w:t>
      </w:r>
      <w:r w:rsidRPr="000D0D66">
        <w:rPr>
          <w:rFonts w:ascii="Arial Black" w:hAnsi="Arial Black"/>
          <w:b/>
          <w:sz w:val="22"/>
          <w:szCs w:val="22"/>
          <w:highlight w:val="yellow"/>
        </w:rPr>
        <w:t xml:space="preserve"> increased</w:t>
      </w:r>
      <w:r w:rsidRPr="000D0D66">
        <w:rPr>
          <w:b/>
          <w:sz w:val="22"/>
          <w:szCs w:val="22"/>
          <w:highlight w:val="yellow"/>
        </w:rPr>
        <w:t xml:space="preserve"> in the </w:t>
      </w:r>
      <w:r w:rsidRPr="000D0D66">
        <w:rPr>
          <w:b/>
          <w:sz w:val="22"/>
          <w:szCs w:val="22"/>
          <w:highlight w:val="yellow"/>
          <w:u w:val="single"/>
        </w:rPr>
        <w:t>amount of gain recognized to the transferor on such transfer</w:t>
      </w:r>
      <w:r w:rsidR="00B64A6B" w:rsidRPr="000D0D66">
        <w:rPr>
          <w:b/>
          <w:sz w:val="22"/>
          <w:szCs w:val="22"/>
          <w:highlight w:val="yellow"/>
          <w:u w:val="single"/>
        </w:rPr>
        <w:t>…</w:t>
      </w:r>
      <w:proofErr w:type="gramStart"/>
      <w:r w:rsidR="00B64A6B" w:rsidRPr="000D0D66">
        <w:rPr>
          <w:b/>
          <w:sz w:val="22"/>
          <w:szCs w:val="22"/>
          <w:highlight w:val="yellow"/>
          <w:u w:val="single"/>
        </w:rPr>
        <w:t>…</w:t>
      </w:r>
      <w:r w:rsidR="00A05FC2" w:rsidRPr="000D0D66">
        <w:rPr>
          <w:rStyle w:val="docheadspacer"/>
          <w:sz w:val="22"/>
          <w:szCs w:val="22"/>
          <w:highlight w:val="yellow"/>
          <w:u w:val="single"/>
        </w:rPr>
        <w:t>..</w:t>
      </w:r>
      <w:bookmarkStart w:id="29" w:name="subdoc28"/>
      <w:bookmarkStart w:id="30" w:name="subdoc103"/>
      <w:bookmarkStart w:id="31" w:name="subdoc107"/>
      <w:bookmarkEnd w:id="29"/>
      <w:bookmarkEnd w:id="30"/>
      <w:bookmarkEnd w:id="31"/>
      <w:proofErr w:type="gramEnd"/>
      <w:r w:rsidR="00F87B2F">
        <w:rPr>
          <w:b/>
          <w:sz w:val="22"/>
          <w:szCs w:val="22"/>
          <w:u w:val="single"/>
        </w:rPr>
        <w:br/>
      </w:r>
    </w:p>
    <w:p w:rsidR="00AC231F" w:rsidRPr="00AC231F" w:rsidRDefault="00BE047E" w:rsidP="00AC231F">
      <w:pPr>
        <w:pStyle w:val="hp"/>
        <w:spacing w:before="0" w:beforeAutospacing="0" w:after="0" w:afterAutospacing="0" w:line="240" w:lineRule="atLeast"/>
        <w:ind w:left="180" w:hanging="270"/>
        <w:rPr>
          <w:rStyle w:val="docheadspacer"/>
          <w:sz w:val="20"/>
          <w:szCs w:val="22"/>
        </w:rPr>
      </w:pPr>
      <w:r w:rsidRPr="00BE047E">
        <w:rPr>
          <w:b/>
          <w:sz w:val="28"/>
          <w:bdr w:val="single" w:sz="12" w:space="0" w:color="auto"/>
        </w:rPr>
        <w:t xml:space="preserve"> </w:t>
      </w:r>
      <w:r>
        <w:rPr>
          <w:b/>
          <w:sz w:val="28"/>
          <w:bdr w:val="single" w:sz="12" w:space="0" w:color="auto"/>
        </w:rPr>
        <w:t xml:space="preserve"> </w:t>
      </w:r>
      <w:r w:rsidR="00AC231F" w:rsidRPr="00BE047E">
        <w:rPr>
          <w:b/>
          <w:sz w:val="28"/>
          <w:highlight w:val="yellow"/>
          <w:bdr w:val="single" w:sz="12" w:space="0" w:color="auto"/>
        </w:rPr>
        <w:t>368(c) Control Defined</w:t>
      </w:r>
      <w:r w:rsidR="00AC231F" w:rsidRPr="00AC231F">
        <w:rPr>
          <w:b/>
          <w:sz w:val="28"/>
          <w:bdr w:val="single" w:sz="12" w:space="0" w:color="auto"/>
        </w:rPr>
        <w:t>.</w:t>
      </w:r>
      <w:r w:rsidR="00AC231F">
        <w:rPr>
          <w:b/>
          <w:sz w:val="28"/>
          <w:u w:val="single"/>
          <w:bdr w:val="single" w:sz="12" w:space="0" w:color="auto"/>
        </w:rPr>
        <w:t xml:space="preserve"> </w:t>
      </w:r>
      <w:r w:rsidR="00AC231F" w:rsidRPr="00AC231F">
        <w:rPr>
          <w:sz w:val="22"/>
          <w:u w:val="single"/>
        </w:rPr>
        <w:t xml:space="preserve"> </w:t>
      </w:r>
      <w:r w:rsidR="00F87B2F">
        <w:rPr>
          <w:sz w:val="22"/>
          <w:u w:val="single"/>
        </w:rPr>
        <w:br/>
      </w:r>
      <w:r w:rsidR="00AC231F" w:rsidRPr="00F1144A">
        <w:rPr>
          <w:sz w:val="20"/>
        </w:rPr>
        <w:t xml:space="preserve">For purposes of </w:t>
      </w:r>
      <w:r w:rsidR="00AC231F" w:rsidRPr="00AC231F">
        <w:rPr>
          <w:sz w:val="20"/>
        </w:rPr>
        <w:t xml:space="preserve">…this part </w:t>
      </w:r>
      <w:proofErr w:type="gramStart"/>
      <w:r w:rsidR="00AC231F" w:rsidRPr="00AC231F">
        <w:rPr>
          <w:sz w:val="20"/>
        </w:rPr>
        <w:t xml:space="preserve">… </w:t>
      </w:r>
      <w:r w:rsidR="00AC231F">
        <w:rPr>
          <w:sz w:val="20"/>
        </w:rPr>
        <w:t>,</w:t>
      </w:r>
      <w:proofErr w:type="gramEnd"/>
      <w:r w:rsidR="00AC231F">
        <w:rPr>
          <w:sz w:val="20"/>
        </w:rPr>
        <w:t xml:space="preserve"> the term </w:t>
      </w:r>
      <w:r w:rsidR="00AC231F" w:rsidRPr="000D0D66">
        <w:rPr>
          <w:sz w:val="20"/>
          <w:highlight w:val="yellow"/>
        </w:rPr>
        <w:t xml:space="preserve">“control” means ownership of stock possessing at least </w:t>
      </w:r>
      <w:r w:rsidR="00AC231F" w:rsidRPr="000D0D66">
        <w:rPr>
          <w:b/>
          <w:sz w:val="20"/>
          <w:highlight w:val="yellow"/>
          <w:u w:val="single"/>
        </w:rPr>
        <w:t>80 percent of the total combined voting power of all classes of stock</w:t>
      </w:r>
      <w:r w:rsidR="00AC231F" w:rsidRPr="00505393">
        <w:rPr>
          <w:b/>
          <w:sz w:val="20"/>
          <w:u w:val="single"/>
        </w:rPr>
        <w:t xml:space="preserve"> </w:t>
      </w:r>
      <w:r w:rsidR="00784C20">
        <w:rPr>
          <w:sz w:val="20"/>
        </w:rPr>
        <w:t>entitled to vote..</w:t>
      </w:r>
      <w:r w:rsidR="00F87B2F">
        <w:rPr>
          <w:sz w:val="20"/>
        </w:rPr>
        <w:br/>
      </w:r>
    </w:p>
    <w:p w:rsidR="00484C3A" w:rsidRPr="00AC231F" w:rsidRDefault="00484C3A" w:rsidP="004658E2">
      <w:pPr>
        <w:pStyle w:val="Heading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before="0" w:beforeAutospacing="0" w:after="0" w:afterAutospacing="0" w:line="240" w:lineRule="atLeast"/>
        <w:ind w:left="-144"/>
        <w:rPr>
          <w:sz w:val="24"/>
          <w:szCs w:val="26"/>
        </w:rPr>
      </w:pPr>
      <w:r w:rsidRPr="000D0D66">
        <w:rPr>
          <w:rStyle w:val="docheadspacer"/>
          <w:sz w:val="24"/>
          <w:szCs w:val="26"/>
          <w:highlight w:val="yellow"/>
        </w:rPr>
        <w:t xml:space="preserve">Sec. 1032. </w:t>
      </w:r>
      <w:r w:rsidRPr="000D0D66">
        <w:rPr>
          <w:sz w:val="24"/>
          <w:szCs w:val="26"/>
          <w:highlight w:val="yellow"/>
        </w:rPr>
        <w:t>Exchange of Stock f</w:t>
      </w:r>
      <w:r w:rsidR="00AB45E9" w:rsidRPr="000D0D66">
        <w:rPr>
          <w:sz w:val="24"/>
          <w:szCs w:val="26"/>
          <w:highlight w:val="yellow"/>
        </w:rPr>
        <w:t xml:space="preserve">or </w:t>
      </w:r>
      <w:r w:rsidRPr="000D0D66">
        <w:rPr>
          <w:sz w:val="24"/>
          <w:szCs w:val="26"/>
          <w:highlight w:val="yellow"/>
        </w:rPr>
        <w:t>Property</w:t>
      </w:r>
    </w:p>
    <w:p w:rsidR="00484C3A" w:rsidRPr="00AC231F" w:rsidRDefault="00484C3A" w:rsidP="00484C3A">
      <w:pPr>
        <w:pStyle w:val="hp"/>
        <w:spacing w:before="0" w:beforeAutospacing="0" w:after="0" w:afterAutospacing="0" w:line="240" w:lineRule="atLeast"/>
        <w:rPr>
          <w:sz w:val="20"/>
          <w:szCs w:val="22"/>
        </w:rPr>
      </w:pPr>
      <w:bookmarkStart w:id="32" w:name="subdoc10"/>
      <w:bookmarkEnd w:id="32"/>
      <w:r w:rsidRPr="00AC231F">
        <w:rPr>
          <w:rStyle w:val="docheadspacer"/>
          <w:b/>
          <w:sz w:val="22"/>
          <w:szCs w:val="22"/>
        </w:rPr>
        <w:t xml:space="preserve">(a) </w:t>
      </w:r>
      <w:r w:rsidRPr="00AC231F">
        <w:rPr>
          <w:rStyle w:val="smallcap"/>
          <w:b/>
          <w:sz w:val="22"/>
          <w:szCs w:val="22"/>
        </w:rPr>
        <w:t>Nonrecognition of Gain or Loss</w:t>
      </w:r>
      <w:r w:rsidRPr="00AC231F">
        <w:rPr>
          <w:sz w:val="22"/>
          <w:szCs w:val="22"/>
        </w:rPr>
        <w:t xml:space="preserve">. </w:t>
      </w:r>
      <w:r w:rsidRPr="000D0D66">
        <w:rPr>
          <w:b/>
          <w:sz w:val="20"/>
          <w:szCs w:val="22"/>
          <w:highlight w:val="yellow"/>
          <w:u w:val="single"/>
        </w:rPr>
        <w:t>No gain or loss shall be recognized to a corporation</w:t>
      </w:r>
      <w:r w:rsidRPr="000D0D66">
        <w:rPr>
          <w:sz w:val="20"/>
          <w:szCs w:val="22"/>
          <w:highlight w:val="yellow"/>
        </w:rPr>
        <w:t xml:space="preserve"> on the receipt of money or other property in </w:t>
      </w:r>
      <w:r w:rsidRPr="000D0D66">
        <w:rPr>
          <w:b/>
          <w:sz w:val="20"/>
          <w:szCs w:val="22"/>
          <w:highlight w:val="yellow"/>
          <w:u w:val="single"/>
        </w:rPr>
        <w:t xml:space="preserve">exchange for stock </w:t>
      </w:r>
      <w:r w:rsidR="00985EAF">
        <w:rPr>
          <w:b/>
          <w:sz w:val="20"/>
          <w:szCs w:val="22"/>
          <w:highlight w:val="yellow"/>
          <w:u w:val="single"/>
        </w:rPr>
        <w:br/>
      </w:r>
      <w:r w:rsidRPr="000D0D66">
        <w:rPr>
          <w:sz w:val="20"/>
          <w:szCs w:val="22"/>
          <w:highlight w:val="yellow"/>
        </w:rPr>
        <w:t>(</w:t>
      </w:r>
      <w:r w:rsidRPr="000D0D66">
        <w:rPr>
          <w:b/>
          <w:sz w:val="20"/>
          <w:szCs w:val="22"/>
          <w:highlight w:val="yellow"/>
          <w:u w:val="single"/>
        </w:rPr>
        <w:t>including treasury stock</w:t>
      </w:r>
      <w:r w:rsidRPr="000D0D66">
        <w:rPr>
          <w:sz w:val="20"/>
          <w:szCs w:val="22"/>
          <w:highlight w:val="yellow"/>
        </w:rPr>
        <w:t xml:space="preserve">) of such </w:t>
      </w:r>
      <w:proofErr w:type="gramStart"/>
      <w:r w:rsidRPr="000D0D66">
        <w:rPr>
          <w:sz w:val="20"/>
          <w:szCs w:val="22"/>
          <w:highlight w:val="yellow"/>
        </w:rPr>
        <w:t xml:space="preserve">corporation. </w:t>
      </w:r>
      <w:r w:rsidR="00507B5E" w:rsidRPr="000D0D66">
        <w:rPr>
          <w:sz w:val="20"/>
          <w:szCs w:val="22"/>
          <w:highlight w:val="yellow"/>
        </w:rPr>
        <w:t>..</w:t>
      </w:r>
      <w:proofErr w:type="gramEnd"/>
    </w:p>
    <w:sectPr w:rsidR="00484C3A" w:rsidRPr="00AC231F" w:rsidSect="00A82B23">
      <w:footerReference w:type="default" r:id="rId6"/>
      <w:pgSz w:w="12240" w:h="15840" w:code="1"/>
      <w:pgMar w:top="720" w:right="1008" w:bottom="864" w:left="1008" w:header="432" w:footer="432" w:gutter="0"/>
      <w:cols w:num="2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6B" w:rsidRDefault="0066336B" w:rsidP="00B3646B">
      <w:pPr>
        <w:spacing w:after="0" w:line="240" w:lineRule="auto"/>
      </w:pPr>
      <w:r>
        <w:separator/>
      </w:r>
    </w:p>
  </w:endnote>
  <w:endnote w:type="continuationSeparator" w:id="0">
    <w:p w:rsidR="0066336B" w:rsidRDefault="0066336B" w:rsidP="00B3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BC" w:rsidRPr="003702BC" w:rsidRDefault="003702BC">
    <w:pPr>
      <w:pStyle w:val="Footer"/>
      <w:rPr>
        <w:sz w:val="20"/>
      </w:rPr>
    </w:pPr>
    <w:r w:rsidRPr="003702BC">
      <w:rPr>
        <w:sz w:val="20"/>
      </w:rPr>
      <w:fldChar w:fldCharType="begin"/>
    </w:r>
    <w:r w:rsidRPr="003702BC">
      <w:rPr>
        <w:sz w:val="20"/>
      </w:rPr>
      <w:instrText xml:space="preserve"> FILENAME   \* MERGEFORMAT </w:instrText>
    </w:r>
    <w:r w:rsidRPr="003702BC">
      <w:rPr>
        <w:sz w:val="20"/>
      </w:rPr>
      <w:fldChar w:fldCharType="separate"/>
    </w:r>
    <w:r w:rsidR="00BE047E">
      <w:rPr>
        <w:noProof/>
        <w:sz w:val="20"/>
      </w:rPr>
      <w:t>T16F-Chap-13-1-Text-of-Code-for-Sec.-351-etc-SHORT</w:t>
    </w:r>
    <w:r w:rsidRPr="003702BC">
      <w:rPr>
        <w:sz w:val="20"/>
      </w:rPr>
      <w:fldChar w:fldCharType="end"/>
    </w:r>
    <w:r w:rsidR="00784C20">
      <w:rPr>
        <w:sz w:val="20"/>
      </w:rPr>
      <w:t xml:space="preserve">. </w:t>
    </w:r>
    <w:r w:rsidR="00784C20" w:rsidRPr="00B22BC5">
      <w:rPr>
        <w:sz w:val="20"/>
        <w:u w:val="single"/>
      </w:rPr>
      <w:t>NOTE-This short version omits may related rules and exceptions</w:t>
    </w:r>
    <w:r w:rsidR="00784C20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6B" w:rsidRDefault="0066336B" w:rsidP="00B3646B">
      <w:pPr>
        <w:spacing w:after="0" w:line="240" w:lineRule="auto"/>
      </w:pPr>
      <w:r>
        <w:separator/>
      </w:r>
    </w:p>
  </w:footnote>
  <w:footnote w:type="continuationSeparator" w:id="0">
    <w:p w:rsidR="0066336B" w:rsidRDefault="0066336B" w:rsidP="00B36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F0"/>
    <w:rsid w:val="0009477B"/>
    <w:rsid w:val="000D0D66"/>
    <w:rsid w:val="000F02E9"/>
    <w:rsid w:val="00123DFD"/>
    <w:rsid w:val="00131F4C"/>
    <w:rsid w:val="0016330C"/>
    <w:rsid w:val="00190FE2"/>
    <w:rsid w:val="00197B57"/>
    <w:rsid w:val="002225C2"/>
    <w:rsid w:val="00243391"/>
    <w:rsid w:val="0032148E"/>
    <w:rsid w:val="00325FDC"/>
    <w:rsid w:val="00347564"/>
    <w:rsid w:val="00367E1B"/>
    <w:rsid w:val="003702BC"/>
    <w:rsid w:val="00434012"/>
    <w:rsid w:val="004658E2"/>
    <w:rsid w:val="00466D29"/>
    <w:rsid w:val="00473679"/>
    <w:rsid w:val="00484C3A"/>
    <w:rsid w:val="0048738F"/>
    <w:rsid w:val="00497AC0"/>
    <w:rsid w:val="004B2583"/>
    <w:rsid w:val="00505393"/>
    <w:rsid w:val="00507B5E"/>
    <w:rsid w:val="0055038D"/>
    <w:rsid w:val="005F06A2"/>
    <w:rsid w:val="00625BCE"/>
    <w:rsid w:val="00635399"/>
    <w:rsid w:val="00651A8F"/>
    <w:rsid w:val="00654E2B"/>
    <w:rsid w:val="0066336B"/>
    <w:rsid w:val="006D288D"/>
    <w:rsid w:val="006D399A"/>
    <w:rsid w:val="006F42D9"/>
    <w:rsid w:val="0072008A"/>
    <w:rsid w:val="00766D76"/>
    <w:rsid w:val="00784C20"/>
    <w:rsid w:val="00796F1C"/>
    <w:rsid w:val="007E1E7E"/>
    <w:rsid w:val="007E4F03"/>
    <w:rsid w:val="00873C6F"/>
    <w:rsid w:val="008E7F28"/>
    <w:rsid w:val="0090167F"/>
    <w:rsid w:val="00985EAF"/>
    <w:rsid w:val="009A7308"/>
    <w:rsid w:val="00A05FC2"/>
    <w:rsid w:val="00A353F0"/>
    <w:rsid w:val="00A806BD"/>
    <w:rsid w:val="00A82B23"/>
    <w:rsid w:val="00AB45E9"/>
    <w:rsid w:val="00AC231F"/>
    <w:rsid w:val="00B20D8F"/>
    <w:rsid w:val="00B22BC5"/>
    <w:rsid w:val="00B3646B"/>
    <w:rsid w:val="00B62B0C"/>
    <w:rsid w:val="00B64A6B"/>
    <w:rsid w:val="00B931AB"/>
    <w:rsid w:val="00B938BE"/>
    <w:rsid w:val="00B954C4"/>
    <w:rsid w:val="00BE047E"/>
    <w:rsid w:val="00BE5D44"/>
    <w:rsid w:val="00C14145"/>
    <w:rsid w:val="00C176B6"/>
    <w:rsid w:val="00C32701"/>
    <w:rsid w:val="00CE471E"/>
    <w:rsid w:val="00CF3369"/>
    <w:rsid w:val="00CF4554"/>
    <w:rsid w:val="00D33692"/>
    <w:rsid w:val="00D50E9C"/>
    <w:rsid w:val="00D9011B"/>
    <w:rsid w:val="00DE1759"/>
    <w:rsid w:val="00DE475E"/>
    <w:rsid w:val="00E121EA"/>
    <w:rsid w:val="00EB3289"/>
    <w:rsid w:val="00F07DCB"/>
    <w:rsid w:val="00F52DE2"/>
    <w:rsid w:val="00F66C09"/>
    <w:rsid w:val="00F77FA4"/>
    <w:rsid w:val="00F8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2CF91-36B2-49CB-9573-11CB9CA6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5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35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3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53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ocheadspacer">
    <w:name w:val="docheadspacer"/>
    <w:basedOn w:val="DefaultParagraphFont"/>
    <w:rsid w:val="00A353F0"/>
  </w:style>
  <w:style w:type="paragraph" w:customStyle="1" w:styleId="hp">
    <w:name w:val="hp"/>
    <w:basedOn w:val="Normal"/>
    <w:rsid w:val="00A3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cap">
    <w:name w:val="smallcap"/>
    <w:basedOn w:val="DefaultParagraphFont"/>
    <w:rsid w:val="00A353F0"/>
  </w:style>
  <w:style w:type="character" w:customStyle="1" w:styleId="link">
    <w:name w:val="link"/>
    <w:basedOn w:val="DefaultParagraphFont"/>
    <w:rsid w:val="00A353F0"/>
  </w:style>
  <w:style w:type="character" w:customStyle="1" w:styleId="Quote1">
    <w:name w:val="Quote1"/>
    <w:basedOn w:val="DefaultParagraphFont"/>
    <w:rsid w:val="00A353F0"/>
  </w:style>
  <w:style w:type="paragraph" w:styleId="Header">
    <w:name w:val="header"/>
    <w:basedOn w:val="Normal"/>
    <w:link w:val="HeaderChar"/>
    <w:uiPriority w:val="99"/>
    <w:unhideWhenUsed/>
    <w:rsid w:val="00B36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46B"/>
  </w:style>
  <w:style w:type="paragraph" w:styleId="Footer">
    <w:name w:val="footer"/>
    <w:basedOn w:val="Normal"/>
    <w:link w:val="FooterChar"/>
    <w:uiPriority w:val="99"/>
    <w:unhideWhenUsed/>
    <w:rsid w:val="00B36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6B"/>
  </w:style>
  <w:style w:type="paragraph" w:styleId="BalloonText">
    <w:name w:val="Balloon Text"/>
    <w:basedOn w:val="Normal"/>
    <w:link w:val="BalloonTextChar"/>
    <w:uiPriority w:val="99"/>
    <w:semiHidden/>
    <w:unhideWhenUsed/>
    <w:rsid w:val="00BE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9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63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4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96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8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2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1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9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9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68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27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58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9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6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64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5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29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23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6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39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77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0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19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9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2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4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08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41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6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2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6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02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1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2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75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02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18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8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6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1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2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8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4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4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47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1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95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6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34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25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22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7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96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3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1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2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84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89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73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19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65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0579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9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5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8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8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6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94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2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0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3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2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99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01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9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8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46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10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9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14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37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1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135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7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6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9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8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1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42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7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0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5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9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9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06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55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8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46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57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92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5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5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02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7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30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8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2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95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44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9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3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057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HowardGodfrey</dc:creator>
  <cp:lastModifiedBy>hgodfrey@uncc.edu</cp:lastModifiedBy>
  <cp:revision>2</cp:revision>
  <cp:lastPrinted>2016-12-01T21:16:00Z</cp:lastPrinted>
  <dcterms:created xsi:type="dcterms:W3CDTF">2016-12-01T21:28:00Z</dcterms:created>
  <dcterms:modified xsi:type="dcterms:W3CDTF">2016-12-01T21:28:00Z</dcterms:modified>
</cp:coreProperties>
</file>